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suppressAutoHyphens w:val="false"/>
        <w:spacing w:lineRule="auto" w:line="276" w:before="57" w:after="57"/>
        <w:ind w:hanging="0" w:left="0" w:right="0"/>
        <w:jc w:val="center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numPr>
          <w:ilvl w:val="0"/>
          <w:numId w:val="0"/>
        </w:numPr>
        <w:suppressAutoHyphens w:val="false"/>
        <w:spacing w:lineRule="auto" w:line="276" w:before="57" w:after="57"/>
        <w:ind w:hanging="0" w:left="0" w:right="0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TERMO DE REFERÊNCIA – LEI 14.133/21</w:t>
      </w:r>
    </w:p>
    <w:p>
      <w:pPr>
        <w:pStyle w:val="Normal"/>
        <w:spacing w:lineRule="auto" w:line="276" w:before="57" w:after="57"/>
        <w:ind w:hanging="0" w:left="0" w:right="0"/>
        <w:jc w:val="center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 w:before="57" w:after="57"/>
        <w:ind w:hanging="0" w:left="0" w:right="0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iCs/>
          <w:color w:val="000000"/>
          <w:sz w:val="20"/>
          <w:szCs w:val="20"/>
        </w:rPr>
        <w:t xml:space="preserve">REGISTRO DE PREÇOS – </w:t>
      </w:r>
      <w:r>
        <w:rPr>
          <w:rFonts w:eastAsia="Times New Roman" w:cs="Times New Roman" w:ascii="Verdana" w:hAnsi="Verdana"/>
          <w:b/>
          <w:bCs/>
          <w:iCs/>
          <w:color w:val="000000"/>
          <w:sz w:val="20"/>
          <w:szCs w:val="20"/>
        </w:rPr>
        <w:t>AQUISIÇÃO DE EQUIPAMENTOS</w:t>
      </w:r>
    </w:p>
    <w:p>
      <w:pPr>
        <w:pStyle w:val="Normal"/>
        <w:spacing w:lineRule="auto" w:line="276" w:before="57" w:after="57"/>
        <w:ind w:hanging="0" w:left="0" w:right="0"/>
        <w:jc w:val="center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 w:before="57" w:after="57"/>
        <w:ind w:hanging="0" w:left="0" w:right="0"/>
        <w:jc w:val="center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</w:rPr>
        <w:t xml:space="preserve">Processo Administrativo nº </w:t>
      </w:r>
      <w:r>
        <w:rPr>
          <w:rFonts w:eastAsia="Times New Roman" w:cs="Times New Roman" w:ascii="Verdana" w:hAnsi="Verdana"/>
          <w:b/>
          <w:bCs/>
          <w:i w:val="false"/>
          <w:iCs w:val="false"/>
          <w:color w:val="000000"/>
          <w:sz w:val="20"/>
          <w:szCs w:val="20"/>
        </w:rPr>
        <w:t>0006308</w:t>
      </w:r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</w:rPr>
        <w:t>/2024 de 26 de agosto de 2024 (Secretaria Municipal de Educação)</w:t>
      </w:r>
    </w:p>
    <w:p>
      <w:pPr>
        <w:pStyle w:val="Normal"/>
        <w:spacing w:lineRule="auto" w:line="276" w:before="57" w:after="57"/>
        <w:ind w:hanging="0" w:left="0" w:right="0"/>
        <w:jc w:val="center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ivel1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Cs/>
          <w:sz w:val="20"/>
          <w:szCs w:val="20"/>
        </w:rPr>
        <w:t>1. DAS CONDIÇÕES GERAIS DA AQUISIÇÃO</w:t>
      </w:r>
    </w:p>
    <w:p>
      <w:pPr>
        <w:pStyle w:val="ListParagraph"/>
        <w:tabs>
          <w:tab w:val="clear" w:pos="708"/>
          <w:tab w:val="left" w:pos="0" w:leader="none"/>
        </w:tabs>
        <w:suppressAutoHyphens w:val="false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1.1 Registro de preços</w:t>
      </w:r>
      <w:r>
        <w:rPr>
          <w:rFonts w:ascii="Verdana" w:hAnsi="Verdana"/>
          <w:b/>
          <w:bCs/>
          <w:iCs/>
          <w:sz w:val="20"/>
          <w:szCs w:val="20"/>
        </w:rPr>
        <w:t xml:space="preserve"> </w:t>
      </w:r>
      <w:r>
        <w:rPr>
          <w:rFonts w:ascii="Verdana" w:hAnsi="Verdana"/>
          <w:iCs/>
          <w:sz w:val="20"/>
          <w:szCs w:val="20"/>
        </w:rPr>
        <w:t>para aquisição de equipamentos/material permanente para atender as Escolas da Rede Municipal a fim de oferecer subsídios para o bom atendimento aos alunos e funcionários para um período de 01 (um) ano, r</w:t>
      </w:r>
      <w:r>
        <w:rPr>
          <w:rFonts w:eastAsia="Times New Roman" w:cs="Times New Roman" w:ascii="Verdana" w:hAnsi="Verdana"/>
          <w:iCs/>
          <w:color w:val="000000"/>
          <w:sz w:val="20"/>
          <w:szCs w:val="20"/>
        </w:rPr>
        <w:t>elacionados e especificados constantes neste TR e ETP, apêndice dos autos.</w:t>
      </w:r>
    </w:p>
    <w:p>
      <w:pPr>
        <w:pStyle w:val="ListParagraph"/>
        <w:tabs>
          <w:tab w:val="clear" w:pos="708"/>
          <w:tab w:val="left" w:pos="0" w:leader="none"/>
        </w:tabs>
        <w:suppressAutoHyphens w:val="false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tbl>
      <w:tblPr>
        <w:tblW w:w="9659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33"/>
        <w:gridCol w:w="3624"/>
        <w:gridCol w:w="959"/>
        <w:gridCol w:w="1101"/>
        <w:gridCol w:w="1486"/>
        <w:gridCol w:w="1755"/>
      </w:tblGrid>
      <w:tr>
        <w:trPr>
          <w:trHeight w:val="269" w:hRule="atLeast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</w:rPr>
              <w:t>Quant.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</w:rPr>
              <w:t>Unidade de medida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</w:rPr>
              <w:t>Preço unitário</w:t>
            </w:r>
            <w:r>
              <w:rPr>
                <w:rFonts w:cs="Arial" w:ascii="Verdana" w:hAnsi="Verdana"/>
                <w:b/>
                <w:bCs/>
                <w:sz w:val="20"/>
                <w:szCs w:val="20"/>
                <w:u w:val="single"/>
              </w:rPr>
              <w:t xml:space="preserve"> </w:t>
            </w:r>
            <w:r>
              <w:rPr>
                <w:rFonts w:cs="Arial" w:ascii="Verdana" w:hAnsi="Verdana"/>
                <w:b/>
                <w:bCs/>
                <w:sz w:val="20"/>
                <w:szCs w:val="20"/>
                <w:u w:val="none"/>
              </w:rPr>
              <w:t>estimado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</w:rPr>
              <w:t>Preço total</w:t>
            </w:r>
            <w:r>
              <w:rPr>
                <w:rFonts w:cs="Arial" w:ascii="Verdana" w:hAnsi="Verdana"/>
                <w:b/>
                <w:bCs/>
                <w:sz w:val="20"/>
                <w:szCs w:val="20"/>
                <w:u w:val="single"/>
              </w:rPr>
              <w:t xml:space="preserve"> </w:t>
            </w:r>
            <w:r>
              <w:rPr>
                <w:rFonts w:cs="Arial" w:ascii="Verdana" w:hAnsi="Verdana"/>
                <w:b/>
                <w:bCs/>
                <w:sz w:val="20"/>
                <w:szCs w:val="20"/>
                <w:u w:val="none"/>
              </w:rPr>
              <w:t>estimado</w:t>
            </w:r>
          </w:p>
        </w:tc>
      </w:tr>
      <w:tr>
        <w:trPr>
          <w:trHeight w:val="269" w:hRule="atLeast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color w:val="000000"/>
                <w:spacing w:val="-5"/>
                <w:sz w:val="20"/>
                <w:szCs w:val="20"/>
              </w:rPr>
              <w:t>001</w:t>
            </w:r>
          </w:p>
        </w:tc>
        <w:tc>
          <w:tcPr>
            <w:tcW w:w="3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BEBEDOURO DE ÁGUA de coluna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elétrico,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voltagem 110v, baixo consumo de energia, fornece água gelada e natural, com duas torneiras plásticas resistentes,</w:t>
            </w:r>
            <w:r>
              <w:rPr>
                <w:rFonts w:ascii="Verdana" w:hAnsi="Verdana"/>
                <w:color w:val="000000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fornecimento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no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mínimo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3 litros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por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hora, refrigeração por compressor, para</w:t>
            </w:r>
            <w:r>
              <w:rPr>
                <w:rFonts w:ascii="Verdana" w:hAnsi="Verdana"/>
                <w:color w:val="000000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utilização com galão de 20 ou 10 litros, termostato frontal para controle de temperatura, serpentina externa, parte externa e polietileno atoxico, com alças laterais, com aparador de respingos removível. altura aproximada 100cm. garantia mínima 01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ano.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40</w:t>
            </w:r>
          </w:p>
        </w:tc>
        <w:tc>
          <w:tcPr>
            <w:tcW w:w="11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color w:val="000000"/>
                <w:sz w:val="20"/>
                <w:szCs w:val="20"/>
              </w:rPr>
              <w:t>UND.</w:t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R$ 568,63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R$ 22.745,20</w:t>
            </w:r>
          </w:p>
        </w:tc>
      </w:tr>
      <w:tr>
        <w:trPr>
          <w:trHeight w:val="269" w:hRule="atLeast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color w:val="000000"/>
                <w:spacing w:val="-5"/>
                <w:sz w:val="20"/>
                <w:szCs w:val="20"/>
              </w:rPr>
              <w:t>002</w:t>
            </w:r>
          </w:p>
        </w:tc>
        <w:tc>
          <w:tcPr>
            <w:tcW w:w="3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BEBEDOURO 912 LITROS COM 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>3</w:t>
            </w:r>
          </w:p>
          <w:p>
            <w:pPr>
              <w:pStyle w:val="TableParagraph"/>
              <w:spacing w:lineRule="auto" w:line="240" w:before="57" w:after="57"/>
              <w:ind w:hanging="0" w:left="0" w:right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TORNEIRAS, 912 LITROS DE ÁGUA POR DIA,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COM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TEMPERATURA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4º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A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14º,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912 litros</w:t>
            </w:r>
            <w:r>
              <w:rPr>
                <w:rFonts w:ascii="Verdana" w:hAnsi="Verdana"/>
                <w:color w:val="000000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 água por dia, com temperatura de 4º a 14º, composto de 3 torneiras com gabinete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em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chapa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galvanizada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que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recebe tratamento especial para não enferrujar, durabilidade</w:t>
            </w:r>
            <w:r>
              <w:rPr>
                <w:rFonts w:ascii="Verdana" w:hAnsi="Verdana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</w:t>
            </w:r>
            <w:r>
              <w:rPr>
                <w:rFonts w:ascii="Verdana" w:hAnsi="Verdana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resistência,</w:t>
            </w:r>
            <w:r>
              <w:rPr>
                <w:rFonts w:ascii="Verdana" w:hAnsi="Verdana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com</w:t>
            </w:r>
            <w:r>
              <w:rPr>
                <w:rFonts w:ascii="Verdana" w:hAnsi="Verdana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selo INMETRO e do instituto bvqi que atesta a qualidade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50</w:t>
            </w:r>
          </w:p>
        </w:tc>
        <w:tc>
          <w:tcPr>
            <w:tcW w:w="11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color w:val="000000"/>
                <w:sz w:val="20"/>
                <w:szCs w:val="20"/>
              </w:rPr>
              <w:t>UND.</w:t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R$ 2.650,15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R$ 132.507,50</w:t>
            </w:r>
          </w:p>
        </w:tc>
      </w:tr>
      <w:tr>
        <w:trPr>
          <w:trHeight w:val="344" w:hRule="atLeast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color w:val="000000"/>
                <w:spacing w:val="-5"/>
                <w:sz w:val="20"/>
                <w:szCs w:val="20"/>
              </w:rPr>
              <w:t>003</w:t>
            </w:r>
          </w:p>
        </w:tc>
        <w:tc>
          <w:tcPr>
            <w:tcW w:w="3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PURIFICADOR DE ÁGUA - vazão de até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60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litros/h, acessível à deficientes físicos e pessoas com</w:t>
            </w:r>
            <w:r>
              <w:rPr>
                <w:rFonts w:ascii="Verdana" w:hAnsi="Verdana"/>
                <w:color w:val="000000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mobilidade reduzida, 2 torneiras,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adequado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a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norma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ABNT,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gabinete em chapa eletrozincada na cor prata, com estrutura p´ropria para fixação em parede: facilita o acesso para pessoas com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mobilidade reduzida.</w:t>
            </w:r>
          </w:p>
          <w:p>
            <w:pPr>
              <w:pStyle w:val="TableParagraph"/>
              <w:numPr>
                <w:ilvl w:val="0"/>
                <w:numId w:val="0"/>
              </w:numPr>
              <w:spacing w:lineRule="auto" w:line="240" w:before="57" w:after="57"/>
              <w:ind w:hanging="0"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- tampo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em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aço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inox304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escovado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com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ralo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sifonado.</w:t>
            </w:r>
          </w:p>
          <w:p>
            <w:pPr>
              <w:pStyle w:val="TableParagraph"/>
              <w:numPr>
                <w:ilvl w:val="0"/>
                <w:numId w:val="0"/>
              </w:numPr>
              <w:spacing w:lineRule="auto" w:line="240" w:before="57" w:after="57"/>
              <w:ind w:hanging="0"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- torneira de jato em plástico com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protetor</w:t>
            </w:r>
          </w:p>
          <w:p>
            <w:pPr>
              <w:pStyle w:val="TableParagraph"/>
              <w:numPr>
                <w:ilvl w:val="0"/>
                <w:numId w:val="0"/>
              </w:numPr>
              <w:spacing w:lineRule="auto" w:line="240" w:before="57" w:after="57"/>
              <w:ind w:hanging="0" w:left="0" w:right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- bucal que evita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acidente.</w:t>
            </w:r>
          </w:p>
          <w:p>
            <w:pPr>
              <w:pStyle w:val="TableParagraph"/>
              <w:numPr>
                <w:ilvl w:val="0"/>
                <w:numId w:val="0"/>
              </w:numPr>
              <w:spacing w:lineRule="auto" w:line="240" w:before="57" w:after="57"/>
              <w:ind w:hanging="0"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- acionamento elétrico da torneira através</w:t>
            </w:r>
            <w:r>
              <w:rPr>
                <w:rFonts w:ascii="Verdana" w:hAnsi="Verdana"/>
                <w:color w:val="000000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botões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alojados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em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painel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plástico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com indicação em braile com fácil acionamento.</w:t>
            </w:r>
          </w:p>
          <w:p>
            <w:pPr>
              <w:pStyle w:val="TableParagraph"/>
              <w:numPr>
                <w:ilvl w:val="0"/>
                <w:numId w:val="0"/>
              </w:numPr>
              <w:spacing w:lineRule="auto" w:line="240" w:before="57" w:after="57"/>
              <w:ind w:hanging="0"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- regulagem de jato de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água.</w:t>
            </w:r>
          </w:p>
          <w:p>
            <w:pPr>
              <w:pStyle w:val="TableParagraph"/>
              <w:numPr>
                <w:ilvl w:val="0"/>
                <w:numId w:val="0"/>
              </w:numPr>
              <w:spacing w:lineRule="auto" w:line="240" w:before="57" w:after="57"/>
              <w:ind w:hanging="0"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- duplo sistema filtragem: que retém partículas de areia, barro, ferrugem, sedimentos,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reduz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o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cloro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elimina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sabores e odores indesejáveis.</w:t>
            </w:r>
          </w:p>
          <w:p>
            <w:pPr>
              <w:pStyle w:val="TableParagraph"/>
              <w:numPr>
                <w:ilvl w:val="0"/>
                <w:numId w:val="0"/>
              </w:numPr>
              <w:spacing w:lineRule="auto" w:line="240" w:before="57" w:after="57"/>
              <w:ind w:hanging="0"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- água natural, gelada e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misturada.</w:t>
            </w:r>
          </w:p>
          <w:p>
            <w:pPr>
              <w:pStyle w:val="TableParagraph"/>
              <w:numPr>
                <w:ilvl w:val="0"/>
                <w:numId w:val="0"/>
              </w:numPr>
              <w:spacing w:lineRule="auto" w:line="240" w:before="57" w:after="57"/>
              <w:ind w:hanging="0"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- fixação de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parede.</w:t>
            </w:r>
          </w:p>
          <w:p>
            <w:pPr>
              <w:pStyle w:val="TableParagraph"/>
              <w:numPr>
                <w:ilvl w:val="0"/>
                <w:numId w:val="0"/>
              </w:numPr>
              <w:spacing w:lineRule="auto" w:line="240" w:before="57" w:after="57"/>
              <w:ind w:hanging="0"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- certificado pelo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INMETRO.</w:t>
            </w:r>
          </w:p>
          <w:p>
            <w:pPr>
              <w:pStyle w:val="TableParagraph"/>
              <w:numPr>
                <w:ilvl w:val="0"/>
                <w:numId w:val="0"/>
              </w:numPr>
              <w:spacing w:lineRule="auto" w:line="240" w:before="57" w:after="57"/>
              <w:ind w:hanging="0"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- jato para o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copo.</w:t>
            </w:r>
          </w:p>
          <w:p>
            <w:pPr>
              <w:pStyle w:val="TableParagraph"/>
              <w:numPr>
                <w:ilvl w:val="0"/>
                <w:numId w:val="0"/>
              </w:numPr>
              <w:spacing w:lineRule="auto" w:line="240" w:before="57" w:after="57"/>
              <w:ind w:hanging="0"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- garantia mínima de 01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ano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40</w:t>
            </w:r>
          </w:p>
        </w:tc>
        <w:tc>
          <w:tcPr>
            <w:tcW w:w="11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color w:val="000000"/>
                <w:sz w:val="20"/>
                <w:szCs w:val="20"/>
              </w:rPr>
              <w:t>UND.</w:t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R$ 2.844,58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R$ 113.783,20</w:t>
            </w:r>
          </w:p>
        </w:tc>
      </w:tr>
      <w:tr>
        <w:trPr>
          <w:trHeight w:val="269" w:hRule="atLeast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color w:val="000000"/>
                <w:spacing w:val="-5"/>
                <w:sz w:val="20"/>
                <w:szCs w:val="20"/>
              </w:rPr>
              <w:t>004</w:t>
            </w:r>
          </w:p>
        </w:tc>
        <w:tc>
          <w:tcPr>
            <w:tcW w:w="3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FOGÃO A GÁS COM 05 BOCAS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modelo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tampo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em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cooktop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-</w:t>
            </w:r>
            <w:r>
              <w:rPr>
                <w:rFonts w:ascii="Verdana" w:hAnsi="Verdana"/>
                <w:color w:val="000000"/>
                <w:spacing w:val="29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acendimento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automático.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20</w:t>
            </w:r>
          </w:p>
        </w:tc>
        <w:tc>
          <w:tcPr>
            <w:tcW w:w="11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color w:val="000000"/>
                <w:sz w:val="20"/>
                <w:szCs w:val="20"/>
              </w:rPr>
              <w:t>UND.</w:t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R$ 455,96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R$ 9.119,20</w:t>
            </w:r>
          </w:p>
        </w:tc>
      </w:tr>
      <w:tr>
        <w:trPr>
          <w:trHeight w:val="269" w:hRule="atLeast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b w:val="false"/>
                <w:bCs w:val="false"/>
                <w:i/>
                <w:i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i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b w:val="false"/>
                <w:bCs w:val="false"/>
                <w:i/>
                <w:i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i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color w:val="000000"/>
                <w:spacing w:val="-5"/>
                <w:sz w:val="20"/>
                <w:szCs w:val="20"/>
              </w:rPr>
              <w:t>005</w:t>
            </w:r>
          </w:p>
        </w:tc>
        <w:tc>
          <w:tcPr>
            <w:tcW w:w="3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FOGÃO INDUSTRIAL COM 06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BOCAS,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FORNO,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GRADE,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QUEIMADORES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FERRO FUNDIDO, BANDEJA COLETORA</w:t>
            </w:r>
            <w:r>
              <w:rPr>
                <w:rFonts w:ascii="Verdana" w:hAnsi="Verdana"/>
                <w:color w:val="000000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 resíduos, queimador frontal, chama dupla, interior de gás horizontal, estrutura de cantoneiras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aço,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forno</w:t>
            </w:r>
            <w:r>
              <w:rPr>
                <w:rFonts w:ascii="Verdana" w:hAnsi="Verdana"/>
                <w:color w:val="000000"/>
                <w:spacing w:val="3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com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manipulador de temperatura, cor preta (capacidade do forno, mínimo de 85 litros).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50</w:t>
            </w:r>
          </w:p>
        </w:tc>
        <w:tc>
          <w:tcPr>
            <w:tcW w:w="11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color w:val="000000"/>
                <w:sz w:val="20"/>
                <w:szCs w:val="20"/>
              </w:rPr>
              <w:t>UND.</w:t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R$ 1.916,67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R$ 95.833,50</w:t>
            </w:r>
          </w:p>
        </w:tc>
      </w:tr>
      <w:tr>
        <w:trPr>
          <w:trHeight w:val="269" w:hRule="atLeast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b w:val="false"/>
                <w:bCs w:val="false"/>
                <w:i/>
                <w:i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i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b w:val="false"/>
                <w:bCs w:val="false"/>
                <w:i/>
                <w:i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i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b w:val="false"/>
                <w:bCs w:val="false"/>
                <w:i/>
                <w:i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i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b w:val="false"/>
                <w:bCs w:val="false"/>
                <w:i/>
                <w:i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i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b w:val="false"/>
                <w:bCs w:val="false"/>
                <w:i/>
                <w:i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i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b w:val="false"/>
                <w:bCs w:val="false"/>
                <w:i/>
                <w:i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i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b w:val="false"/>
                <w:bCs w:val="false"/>
                <w:i/>
                <w:i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i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b w:val="false"/>
                <w:bCs w:val="false"/>
                <w:i/>
                <w:i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i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color w:val="000000"/>
                <w:spacing w:val="-5"/>
                <w:sz w:val="20"/>
                <w:szCs w:val="20"/>
              </w:rPr>
              <w:t>006</w:t>
            </w:r>
          </w:p>
        </w:tc>
        <w:tc>
          <w:tcPr>
            <w:tcW w:w="3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FORNO ELÉTRICO capacidade interna de 60l aquece, assa, tosta, gratina, grelha e descongela,</w:t>
            </w:r>
            <w:r>
              <w:rPr>
                <w:rFonts w:ascii="Verdana" w:hAnsi="Verdana"/>
                <w:color w:val="000000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com</w:t>
            </w:r>
            <w:r>
              <w:rPr>
                <w:rFonts w:ascii="Verdana" w:hAnsi="Verdana"/>
                <w:color w:val="000000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seletor</w:t>
            </w:r>
            <w:r>
              <w:rPr>
                <w:rFonts w:ascii="Verdana" w:hAnsi="Verdana"/>
                <w:color w:val="000000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/>
                <w:color w:val="000000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temperatura</w:t>
            </w:r>
            <w:r>
              <w:rPr>
                <w:rFonts w:ascii="Verdana" w:hAnsi="Verdana"/>
                <w:color w:val="000000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 90 a 230°c, função timer de até 120 min com sinal sonoro, luz interna, resistências superior e inferior, função dourar, luz indicadora de funcionamento, grelha em aço inoxidável removível, porta de vidro temperado,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que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oferece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mais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resistência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ao calor, abertura da porta frontal. Potência mínima 1800w, tipo de alimentação: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elétrica, voltagem 127 v, garantia mínima 01 ano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50</w:t>
            </w:r>
          </w:p>
        </w:tc>
        <w:tc>
          <w:tcPr>
            <w:tcW w:w="11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color w:val="000000"/>
                <w:sz w:val="20"/>
                <w:szCs w:val="20"/>
              </w:rPr>
              <w:t>UND.</w:t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515,81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R$ 2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5.790,50</w:t>
            </w:r>
          </w:p>
        </w:tc>
      </w:tr>
      <w:tr>
        <w:trPr>
          <w:trHeight w:val="269" w:hRule="atLeast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color w:val="000000"/>
                <w:spacing w:val="-5"/>
                <w:sz w:val="20"/>
                <w:szCs w:val="20"/>
              </w:rPr>
              <w:t>007</w:t>
            </w:r>
          </w:p>
        </w:tc>
        <w:tc>
          <w:tcPr>
            <w:tcW w:w="3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FREEZER HORIZONTAL 1.1 –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descrição: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congelador (freezer) horizontal, voltagem 110 volts ou bivolt. o congelador deverá possuir selo inmetro apresentando classificação energética a no programa nacional de conservação de energia elétrica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-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PROCEL,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conforme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estabelecimento na portaria</w:t>
            </w:r>
            <w:r>
              <w:rPr>
                <w:rFonts w:ascii="Verdana" w:hAnsi="Verdana"/>
                <w:color w:val="000000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nº 20, de 01 de fevereiro de 2006.</w:t>
            </w:r>
            <w:r>
              <w:rPr>
                <w:rFonts w:ascii="Verdana" w:hAnsi="Verdana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dimensões</w:t>
            </w:r>
            <w:r>
              <w:rPr>
                <w:rFonts w:ascii="Verdana" w:hAnsi="Verdana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</w:t>
            </w:r>
            <w:r>
              <w:rPr>
                <w:rFonts w:ascii="Verdana" w:hAnsi="Verdana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tolerâncias:</w:t>
            </w:r>
            <w:r>
              <w:rPr>
                <w:rFonts w:ascii="Verdana" w:hAnsi="Verdana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dimensões externas: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largura: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166,5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cm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-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profundidade: 69 cm - altura: 173,5 cm, com 02 portas, capacidade útil mínima - 546 litros.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20</w:t>
            </w:r>
          </w:p>
        </w:tc>
        <w:tc>
          <w:tcPr>
            <w:tcW w:w="11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color w:val="000000"/>
                <w:sz w:val="20"/>
                <w:szCs w:val="20"/>
              </w:rPr>
              <w:t>UND.</w:t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R$ 2.953,000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R$ 59.060,00</w:t>
            </w:r>
          </w:p>
        </w:tc>
      </w:tr>
      <w:tr>
        <w:trPr>
          <w:trHeight w:val="269" w:hRule="atLeast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color w:val="000000"/>
                <w:spacing w:val="-5"/>
                <w:sz w:val="20"/>
                <w:szCs w:val="20"/>
              </w:rPr>
              <w:t>008</w:t>
            </w:r>
          </w:p>
        </w:tc>
        <w:tc>
          <w:tcPr>
            <w:tcW w:w="3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FREEZER VERTICAL linha branca,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sistema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de refrigeração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“frostfree”.</w:t>
            </w:r>
          </w:p>
          <w:p>
            <w:pPr>
              <w:pStyle w:val="TableParagraph"/>
              <w:numPr>
                <w:ilvl w:val="0"/>
                <w:numId w:val="0"/>
              </w:numPr>
              <w:spacing w:lineRule="auto" w:line="240" w:before="57" w:after="57"/>
              <w:ind w:hanging="0"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- classificação energética 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>a</w:t>
            </w:r>
          </w:p>
          <w:p>
            <w:pPr>
              <w:pStyle w:val="TableParagraph"/>
              <w:numPr>
                <w:ilvl w:val="0"/>
                <w:numId w:val="0"/>
              </w:numPr>
              <w:spacing w:lineRule="auto" w:line="240" w:before="57" w:after="57"/>
              <w:ind w:hanging="0"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- capacidade total (volume interno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mínimo):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300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litros.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30</w:t>
            </w:r>
          </w:p>
        </w:tc>
        <w:tc>
          <w:tcPr>
            <w:tcW w:w="11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color w:val="000000"/>
                <w:sz w:val="20"/>
                <w:szCs w:val="20"/>
              </w:rPr>
              <w:t>UND.</w:t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R$ 3.433,46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R$ 103.003,80</w:t>
            </w:r>
          </w:p>
        </w:tc>
      </w:tr>
      <w:tr>
        <w:trPr>
          <w:trHeight w:val="269" w:hRule="atLeast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color w:val="000000"/>
                <w:spacing w:val="-5"/>
                <w:sz w:val="20"/>
                <w:szCs w:val="20"/>
              </w:rPr>
              <w:t>009</w:t>
            </w:r>
          </w:p>
        </w:tc>
        <w:tc>
          <w:tcPr>
            <w:tcW w:w="3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GELADEIRA VERTICAL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INDUSTRIAL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capacidade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útil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mínima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1000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litros, monofásico 110 v ou 220 v (sistema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frost-free)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50</w:t>
            </w:r>
          </w:p>
        </w:tc>
        <w:tc>
          <w:tcPr>
            <w:tcW w:w="11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color w:val="000000"/>
                <w:sz w:val="20"/>
                <w:szCs w:val="20"/>
              </w:rPr>
              <w:t>UND.</w:t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R$ 6.673,900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R$ 333.695,00</w:t>
            </w:r>
          </w:p>
        </w:tc>
      </w:tr>
      <w:tr>
        <w:trPr>
          <w:trHeight w:val="269" w:hRule="atLeast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b w:val="false"/>
                <w:bCs w:val="false"/>
                <w:i/>
                <w:i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i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b w:val="false"/>
                <w:bCs w:val="false"/>
                <w:i/>
                <w:i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i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color w:val="000000"/>
                <w:spacing w:val="-5"/>
                <w:sz w:val="20"/>
                <w:szCs w:val="20"/>
              </w:rPr>
              <w:t>010</w:t>
            </w:r>
          </w:p>
        </w:tc>
        <w:tc>
          <w:tcPr>
            <w:tcW w:w="3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GELADEIRA FROST FREE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duplex,</w:t>
            </w:r>
          </w:p>
          <w:p>
            <w:pPr>
              <w:pStyle w:val="TableParagraph"/>
              <w:spacing w:lineRule="auto" w:line="240" w:before="57" w:after="57"/>
              <w:ind w:hanging="0" w:left="0" w:right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capacidade mínima 433l, cor branca, com controle de temperatura, eficácia</w:t>
            </w:r>
            <w:r>
              <w:rPr>
                <w:rFonts w:ascii="Verdana" w:hAnsi="Verdana"/>
                <w:color w:val="000000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energética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classe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a,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voltagem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110v,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mínimo 1 ano de garantia.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50</w:t>
            </w:r>
          </w:p>
        </w:tc>
        <w:tc>
          <w:tcPr>
            <w:tcW w:w="11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color w:val="000000"/>
                <w:sz w:val="20"/>
                <w:szCs w:val="20"/>
              </w:rPr>
              <w:t>UND.</w:t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R$ 3.695,790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R$ 184.789,50</w:t>
            </w:r>
          </w:p>
        </w:tc>
      </w:tr>
      <w:tr>
        <w:trPr>
          <w:trHeight w:val="269" w:hRule="atLeast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b w:val="false"/>
                <w:bCs w:val="false"/>
                <w:i/>
                <w:i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i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b w:val="false"/>
                <w:bCs w:val="false"/>
                <w:i/>
                <w:i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i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color w:val="000000"/>
                <w:spacing w:val="-5"/>
                <w:sz w:val="20"/>
                <w:szCs w:val="20"/>
              </w:rPr>
              <w:t>011</w:t>
            </w:r>
          </w:p>
        </w:tc>
        <w:tc>
          <w:tcPr>
            <w:tcW w:w="3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LIQUIDIFICADOR INDUSTRIAL 8 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L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capacidade:</w:t>
            </w:r>
          </w:p>
          <w:p>
            <w:pPr>
              <w:pStyle w:val="TableParagraph"/>
              <w:numPr>
                <w:ilvl w:val="0"/>
                <w:numId w:val="0"/>
              </w:numPr>
              <w:spacing w:lineRule="auto" w:line="240" w:before="57" w:after="57"/>
              <w:ind w:hanging="0"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- copo com capacidade útil de 8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litros;</w:t>
            </w:r>
          </w:p>
          <w:p>
            <w:pPr>
              <w:pStyle w:val="TableParagraph"/>
              <w:numPr>
                <w:ilvl w:val="0"/>
                <w:numId w:val="0"/>
              </w:numPr>
              <w:spacing w:lineRule="auto" w:line="240" w:before="57" w:after="57"/>
              <w:ind w:hanging="0"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- em aço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inox;</w:t>
            </w:r>
          </w:p>
          <w:p>
            <w:pPr>
              <w:pStyle w:val="TableParagraph"/>
              <w:numPr>
                <w:ilvl w:val="0"/>
                <w:numId w:val="0"/>
              </w:numPr>
              <w:spacing w:lineRule="auto" w:line="240" w:before="57" w:after="57"/>
              <w:ind w:hanging="0"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- voltagem: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110/220v.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50</w:t>
            </w:r>
          </w:p>
        </w:tc>
        <w:tc>
          <w:tcPr>
            <w:tcW w:w="11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color w:val="000000"/>
                <w:sz w:val="20"/>
                <w:szCs w:val="20"/>
              </w:rPr>
              <w:t>UND.</w:t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R$ 996,06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R$ 49.803,00</w:t>
            </w:r>
          </w:p>
        </w:tc>
      </w:tr>
      <w:tr>
        <w:trPr>
          <w:trHeight w:val="269" w:hRule="atLeast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color w:val="000000"/>
                <w:spacing w:val="-5"/>
                <w:sz w:val="20"/>
                <w:szCs w:val="20"/>
              </w:rPr>
              <w:t>012</w:t>
            </w:r>
          </w:p>
        </w:tc>
        <w:tc>
          <w:tcPr>
            <w:tcW w:w="3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LIQUIDIFICADOR CAPACIDADE 2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LITROS: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potência: 700 w</w:t>
            </w:r>
            <w:r>
              <w:rPr>
                <w:rFonts w:ascii="Verdana" w:hAnsi="Verdana"/>
                <w:color w:val="000000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voltagem: 110 / 220 v material: plástico inquebrável</w:t>
            </w:r>
            <w:r>
              <w:rPr>
                <w:rFonts w:ascii="Verdana" w:hAnsi="Verdana"/>
                <w:color w:val="000000"/>
                <w:spacing w:val="8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uso: doméstico</w:t>
            </w:r>
            <w:r>
              <w:rPr>
                <w:rFonts w:ascii="Verdana" w:hAnsi="Verdana"/>
                <w:color w:val="000000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características</w:t>
            </w:r>
            <w:r>
              <w:rPr>
                <w:rFonts w:ascii="Verdana" w:hAnsi="Verdana"/>
                <w:color w:val="00000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adicionais:</w:t>
            </w:r>
            <w:r>
              <w:rPr>
                <w:rFonts w:ascii="Verdana" w:hAnsi="Verdana"/>
                <w:color w:val="00000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com controle de velocidade, copo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reforçado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50</w:t>
            </w:r>
          </w:p>
        </w:tc>
        <w:tc>
          <w:tcPr>
            <w:tcW w:w="11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color w:val="000000"/>
                <w:sz w:val="20"/>
                <w:szCs w:val="20"/>
              </w:rPr>
              <w:t>UND.</w:t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R$ 210,23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R$ 10.511,50</w:t>
            </w:r>
          </w:p>
        </w:tc>
      </w:tr>
      <w:tr>
        <w:trPr>
          <w:trHeight w:val="269" w:hRule="atLeast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color w:val="000000"/>
                <w:spacing w:val="-5"/>
                <w:sz w:val="20"/>
                <w:szCs w:val="20"/>
              </w:rPr>
              <w:t>013</w:t>
            </w:r>
          </w:p>
        </w:tc>
        <w:tc>
          <w:tcPr>
            <w:tcW w:w="3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MÁQUINA DE LAVAR ROUPA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descrição:</w:t>
            </w:r>
          </w:p>
          <w:p>
            <w:pPr>
              <w:pStyle w:val="TableParagraph"/>
              <w:numPr>
                <w:ilvl w:val="0"/>
                <w:numId w:val="0"/>
              </w:numPr>
              <w:spacing w:lineRule="auto" w:line="240" w:before="57" w:after="57"/>
              <w:ind w:hanging="0"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- capacidade: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15kg</w:t>
            </w:r>
          </w:p>
          <w:p>
            <w:pPr>
              <w:pStyle w:val="TableParagraph"/>
              <w:numPr>
                <w:ilvl w:val="0"/>
                <w:numId w:val="0"/>
              </w:numPr>
              <w:spacing w:lineRule="auto" w:line="240" w:before="57" w:after="57"/>
              <w:ind w:hanging="0"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- consumo de energia: 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>a</w:t>
            </w:r>
          </w:p>
          <w:p>
            <w:pPr>
              <w:pStyle w:val="TableParagraph"/>
              <w:numPr>
                <w:ilvl w:val="0"/>
                <w:numId w:val="0"/>
              </w:numPr>
              <w:spacing w:lineRule="auto" w:line="240" w:before="57" w:after="57"/>
              <w:ind w:hanging="0"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- cor: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branca</w:t>
            </w:r>
          </w:p>
          <w:p>
            <w:pPr>
              <w:pStyle w:val="TableParagraph"/>
              <w:numPr>
                <w:ilvl w:val="0"/>
                <w:numId w:val="0"/>
              </w:numPr>
              <w:spacing w:lineRule="auto" w:line="240" w:before="57" w:after="57"/>
              <w:ind w:hanging="0"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- voltagem: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110/220v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50</w:t>
            </w:r>
          </w:p>
        </w:tc>
        <w:tc>
          <w:tcPr>
            <w:tcW w:w="11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color w:val="000000"/>
                <w:sz w:val="20"/>
                <w:szCs w:val="20"/>
              </w:rPr>
              <w:t>UND.</w:t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R$ 1.859,97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R$ 92.998,50</w:t>
            </w:r>
          </w:p>
        </w:tc>
      </w:tr>
      <w:tr>
        <w:trPr>
          <w:trHeight w:val="269" w:hRule="atLeast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b w:val="false"/>
                <w:bCs w:val="false"/>
                <w:i/>
                <w:i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i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color w:val="000000"/>
                <w:spacing w:val="-5"/>
                <w:sz w:val="20"/>
                <w:szCs w:val="20"/>
              </w:rPr>
              <w:t>014</w:t>
            </w:r>
          </w:p>
        </w:tc>
        <w:tc>
          <w:tcPr>
            <w:tcW w:w="3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SMART TV com tela de no mínimo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49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polegadas, iluminada por led, com resolução mínima de 1980x1080, brilho mínimo de 200cd/m², conexão usb para reprodução independente de conteúdos de imagem,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áudio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vídeo,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com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receptor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digital integrado, entradas rf (antena para tv</w:t>
            </w:r>
            <w:r>
              <w:rPr>
                <w:rFonts w:ascii="Verdana" w:hAnsi="Verdana"/>
                <w:color w:val="000000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aberta analógica e digital, alem de tv a cabo) rgb video componente e hdmi, cabo de energia e controle remoto incluso, alimentação 110/220v, garantia de no</w:t>
            </w:r>
          </w:p>
          <w:p>
            <w:pPr>
              <w:pStyle w:val="TableParagraph"/>
              <w:spacing w:lineRule="auto" w:line="240" w:before="57" w:after="57"/>
              <w:ind w:hanging="0" w:left="0" w:right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mínimo 12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meses.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100</w:t>
            </w:r>
          </w:p>
        </w:tc>
        <w:tc>
          <w:tcPr>
            <w:tcW w:w="11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color w:val="000000"/>
                <w:sz w:val="20"/>
                <w:szCs w:val="20"/>
              </w:rPr>
              <w:t>UND.</w:t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R$ 2.381,73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R$ 238.173,00</w:t>
            </w:r>
          </w:p>
        </w:tc>
      </w:tr>
      <w:tr>
        <w:trPr>
          <w:trHeight w:val="269" w:hRule="atLeast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color w:val="000000"/>
                <w:spacing w:val="-5"/>
                <w:sz w:val="20"/>
                <w:szCs w:val="20"/>
              </w:rPr>
              <w:t>015</w:t>
            </w:r>
          </w:p>
        </w:tc>
        <w:tc>
          <w:tcPr>
            <w:tcW w:w="3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VENTILADOR DE COLUNA TIPO: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coluna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potência motor: 200 w tensão alimentação: 110/220 v características adicionais: oscilante, regulagem de altura e velocidade material: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aço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plástico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diâmetro: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60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cm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cor: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preta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100</w:t>
            </w:r>
          </w:p>
        </w:tc>
        <w:tc>
          <w:tcPr>
            <w:tcW w:w="11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color w:val="000000"/>
                <w:sz w:val="20"/>
                <w:szCs w:val="20"/>
              </w:rPr>
              <w:t>UND.</w:t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R$ 338,30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R$ 33.830,00</w:t>
            </w:r>
          </w:p>
        </w:tc>
      </w:tr>
      <w:tr>
        <w:trPr>
          <w:trHeight w:val="269" w:hRule="atLeast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color w:val="000000"/>
                <w:spacing w:val="-5"/>
                <w:sz w:val="20"/>
                <w:szCs w:val="20"/>
              </w:rPr>
              <w:t>016</w:t>
            </w:r>
          </w:p>
        </w:tc>
        <w:tc>
          <w:tcPr>
            <w:tcW w:w="3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VENTILADOR DE PAREDE ventilador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de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parede turbo de 50 cm: cor preto, c/grade removível, possui oscilação p/ direita e esquerda. potência: 1/4 cv-200v; diâmetro aproximado da hélice: 45 cm"; rpm: 1400 máxima; tensão: bivolt; velocidade regulável; equipado c/ protetor térmico. embalagem c/ informações do fabricante, manual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instruções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em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português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prazo de garantia.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300</w:t>
            </w:r>
          </w:p>
        </w:tc>
        <w:tc>
          <w:tcPr>
            <w:tcW w:w="11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color w:val="000000"/>
                <w:sz w:val="20"/>
                <w:szCs w:val="20"/>
              </w:rPr>
              <w:t>UND.</w:t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R$ 335,80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R$ 100.740,00</w:t>
            </w:r>
          </w:p>
        </w:tc>
      </w:tr>
      <w:tr>
        <w:trPr>
          <w:trHeight w:val="269" w:hRule="atLeast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color w:val="000000"/>
                <w:spacing w:val="-5"/>
                <w:sz w:val="20"/>
                <w:szCs w:val="20"/>
              </w:rPr>
              <w:t>017</w:t>
            </w:r>
          </w:p>
        </w:tc>
        <w:tc>
          <w:tcPr>
            <w:tcW w:w="3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BATEDEIRA INDUSTRIAL</w:t>
            </w:r>
            <w:r>
              <w:rPr>
                <w:rFonts w:ascii="Verdana" w:hAnsi="Verdana"/>
                <w:color w:val="000000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planetária,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preta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inox,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110v.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características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especiais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- automático,</w:t>
            </w:r>
            <w:r>
              <w:rPr>
                <w:rFonts w:ascii="Verdana" w:hAnsi="Verdana"/>
                <w:color w:val="000000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tigela</w:t>
            </w:r>
            <w:r>
              <w:rPr>
                <w:rFonts w:ascii="Verdana" w:hAnsi="Verdana"/>
                <w:color w:val="00000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removível,</w:t>
            </w:r>
            <w:r>
              <w:rPr>
                <w:rFonts w:ascii="Verdana" w:hAnsi="Verdana"/>
                <w:color w:val="00000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multiuso potência</w:t>
            </w:r>
            <w:r>
              <w:rPr>
                <w:rFonts w:ascii="Verdana" w:hAnsi="Verdana"/>
                <w:color w:val="000000"/>
                <w:spacing w:val="35"/>
                <w:sz w:val="20"/>
                <w:szCs w:val="20"/>
              </w:rPr>
              <w:t xml:space="preserve"> 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800 watts - tigela 5 litros, 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3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batedores, 12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velocidades.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30</w:t>
            </w:r>
          </w:p>
        </w:tc>
        <w:tc>
          <w:tcPr>
            <w:tcW w:w="11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color w:val="000000"/>
                <w:sz w:val="20"/>
                <w:szCs w:val="20"/>
              </w:rPr>
              <w:t>UND.</w:t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R$ 797,67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R$ 23.930,10</w:t>
            </w:r>
          </w:p>
        </w:tc>
      </w:tr>
      <w:tr>
        <w:trPr>
          <w:trHeight w:val="269" w:hRule="atLeast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color w:val="000000"/>
                <w:spacing w:val="-5"/>
                <w:sz w:val="20"/>
                <w:szCs w:val="20"/>
              </w:rPr>
              <w:t>018</w:t>
            </w:r>
          </w:p>
        </w:tc>
        <w:tc>
          <w:tcPr>
            <w:tcW w:w="3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FORNO DE MICROONDAS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capacidade:</w:t>
            </w:r>
          </w:p>
          <w:p>
            <w:pPr>
              <w:pStyle w:val="TableParagraph"/>
              <w:numPr>
                <w:ilvl w:val="0"/>
                <w:numId w:val="0"/>
              </w:numPr>
              <w:spacing w:lineRule="auto" w:line="240" w:before="57" w:after="57"/>
              <w:ind w:hanging="0"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- volume útil mínimo de 30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litros;</w:t>
            </w:r>
          </w:p>
          <w:p>
            <w:pPr>
              <w:pStyle w:val="TableParagraph"/>
              <w:numPr>
                <w:ilvl w:val="0"/>
                <w:numId w:val="0"/>
              </w:numPr>
              <w:spacing w:lineRule="auto" w:line="240" w:before="57" w:after="57"/>
              <w:ind w:hanging="0"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- cor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branca.</w:t>
            </w:r>
          </w:p>
          <w:p>
            <w:pPr>
              <w:pStyle w:val="TableParagraph"/>
              <w:numPr>
                <w:ilvl w:val="0"/>
                <w:numId w:val="0"/>
              </w:numPr>
              <w:spacing w:lineRule="auto" w:line="240" w:before="57" w:after="57"/>
              <w:ind w:hanging="0"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- prato giratório em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vidro.</w:t>
            </w:r>
          </w:p>
          <w:p>
            <w:pPr>
              <w:pStyle w:val="TableParagraph"/>
              <w:numPr>
                <w:ilvl w:val="0"/>
                <w:numId w:val="0"/>
              </w:numPr>
              <w:spacing w:lineRule="auto" w:line="240" w:before="57" w:after="57"/>
              <w:ind w:hanging="0"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- voltagem: 110v ou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220v.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30</w:t>
            </w:r>
          </w:p>
        </w:tc>
        <w:tc>
          <w:tcPr>
            <w:tcW w:w="11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color w:val="000000"/>
                <w:sz w:val="20"/>
                <w:szCs w:val="20"/>
              </w:rPr>
              <w:t>UND.</w:t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R$ 632,04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R$ 18.961,20</w:t>
            </w:r>
          </w:p>
        </w:tc>
      </w:tr>
      <w:tr>
        <w:trPr>
          <w:trHeight w:val="269" w:hRule="atLeast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color w:val="000000"/>
                <w:spacing w:val="-5"/>
                <w:sz w:val="20"/>
                <w:szCs w:val="20"/>
              </w:rPr>
              <w:t>019</w:t>
            </w:r>
          </w:p>
        </w:tc>
        <w:tc>
          <w:tcPr>
            <w:tcW w:w="3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COIFA DE PAREDE 90cm inox piramidal 5 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e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6 bocas com duplo filtro com exaustor e depurador, mínimo 1 ano de garantia, potência mínima de 70w, capacidade de sucção mínima de 600m³/h, acompanha filtro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carvão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ativado,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acompanha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filtro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de alumínio, acompanha duto de exaustão flexível, duto com diâmetro mínimo de 150mm, acompanha kit de instalação: buchas, parafusos e fixação das partes da coifa na parede, chaminé composta por duas peças em inox, ideal para fogões até 5 a 6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queimadores.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60</w:t>
            </w:r>
          </w:p>
        </w:tc>
        <w:tc>
          <w:tcPr>
            <w:tcW w:w="11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R$ 832,36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R$ 49.941,60</w:t>
            </w:r>
          </w:p>
        </w:tc>
      </w:tr>
      <w:tr>
        <w:trPr>
          <w:trHeight w:val="269" w:hRule="atLeast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color w:val="000000"/>
                <w:spacing w:val="-5"/>
                <w:sz w:val="20"/>
                <w:szCs w:val="20"/>
              </w:rPr>
              <w:t>020</w:t>
            </w:r>
          </w:p>
        </w:tc>
        <w:tc>
          <w:tcPr>
            <w:tcW w:w="3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DEPURADOR DE AR slim, dupla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filtragem,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baixo consumo 0,11kwh, elimina fumaça 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e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gorduras, inox, para fogões de 6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bocas.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40</w:t>
            </w:r>
          </w:p>
        </w:tc>
        <w:tc>
          <w:tcPr>
            <w:tcW w:w="11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color w:val="000000"/>
                <w:sz w:val="20"/>
                <w:szCs w:val="20"/>
              </w:rPr>
              <w:t>UND.</w:t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R$ 522,97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R$ 20.918,80</w:t>
            </w:r>
          </w:p>
        </w:tc>
      </w:tr>
      <w:tr>
        <w:trPr>
          <w:trHeight w:val="269" w:hRule="atLeast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3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FOGÃO INDUSTRIAL COM 06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BOCAS,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FORNO,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GRADE,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QUEIMADORES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FERRO FUNDIDO, BANDEJA COLETORA</w:t>
            </w:r>
            <w:r>
              <w:rPr>
                <w:rFonts w:ascii="Verdana" w:hAnsi="Verdana"/>
                <w:color w:val="000000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DE resíduos, queimador frontal, chama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dupla,</w:t>
            </w:r>
          </w:p>
          <w:p>
            <w:pPr>
              <w:pStyle w:val="TableParagraph"/>
              <w:spacing w:lineRule="auto" w:line="240" w:before="57" w:after="57"/>
              <w:ind w:hanging="0" w:left="0" w:right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interior de gás horizontal, estrutura de cantoneiras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aço,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forno</w:t>
            </w:r>
            <w:r>
              <w:rPr>
                <w:rFonts w:ascii="Verdana" w:hAnsi="Verdana"/>
                <w:color w:val="000000"/>
                <w:spacing w:val="3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com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manipulador de temperatura, cor preta. totalmente montado. garantia mínima de 01 ano. ( capacidade do forno, mínimo de 120 litros).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50</w:t>
            </w:r>
          </w:p>
        </w:tc>
        <w:tc>
          <w:tcPr>
            <w:tcW w:w="11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color w:val="000000"/>
                <w:sz w:val="20"/>
                <w:szCs w:val="20"/>
              </w:rPr>
              <w:t>UND.</w:t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R$ 3.596,95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R$ 179.847,50</w:t>
            </w:r>
          </w:p>
        </w:tc>
      </w:tr>
      <w:tr>
        <w:trPr>
          <w:trHeight w:val="269" w:hRule="atLeast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VENTILADOR DE TETO. com 3 pás,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sem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soquete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lâmpada,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acabamento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do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motor e pás na cor branca, diâmetro do produto instalado:</w:t>
            </w:r>
            <w:r>
              <w:rPr>
                <w:rFonts w:ascii="Verdana" w:hAnsi="Verdana"/>
                <w:color w:val="000000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1100mm,</w:t>
            </w:r>
            <w:r>
              <w:rPr>
                <w:rFonts w:ascii="Verdana" w:hAnsi="Verdana"/>
                <w:color w:val="00000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alimentação:</w:t>
            </w:r>
            <w:r>
              <w:rPr>
                <w:rFonts w:ascii="Verdana" w:hAnsi="Verdana"/>
                <w:color w:val="00000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110/127v, velocidade: 420 a 480rpm, ventila e exausta, controle de velocidade. garantia mínima de 01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ano.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300</w:t>
            </w:r>
          </w:p>
        </w:tc>
        <w:tc>
          <w:tcPr>
            <w:tcW w:w="11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color w:val="000000"/>
                <w:sz w:val="20"/>
                <w:szCs w:val="20"/>
              </w:rPr>
              <w:t>UND.</w:t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R$ 207,93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R$ 62.379,00</w:t>
            </w:r>
          </w:p>
        </w:tc>
      </w:tr>
      <w:tr>
        <w:trPr>
          <w:trHeight w:val="206" w:hRule="atLeast"/>
        </w:trPr>
        <w:tc>
          <w:tcPr>
            <w:tcW w:w="965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57" w:after="57"/>
              <w:ind w:hanging="0" w:left="0" w:right="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57" w:after="57"/>
              <w:ind w:hanging="0" w:left="0" w:right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VALOR TOTAL ESTIMADO: R$ 1.962.361,60 (um milhão novecentos e sessenta e dois mil trezentos e sessenta e um reais e sessenta centavos)</w:t>
            </w:r>
          </w:p>
          <w:p>
            <w:pPr>
              <w:pStyle w:val="TableParagraph"/>
              <w:spacing w:lineRule="auto" w:line="240" w:before="57" w:after="57"/>
              <w:ind w:hanging="0" w:left="0" w:right="0"/>
              <w:rPr>
                <w:rFonts w:ascii="Verdana" w:hAnsi="Verdana"/>
                <w:spacing w:val="-2"/>
                <w:sz w:val="20"/>
                <w:szCs w:val="20"/>
              </w:rPr>
            </w:pPr>
            <w:r>
              <w:rPr>
                <w:rFonts w:ascii="Verdana" w:hAnsi="Verdana"/>
                <w:spacing w:val="-2"/>
                <w:sz w:val="20"/>
                <w:szCs w:val="20"/>
              </w:rPr>
            </w:r>
          </w:p>
        </w:tc>
      </w:tr>
    </w:tbl>
    <w:p>
      <w:pPr>
        <w:pStyle w:val="Normal"/>
        <w:widowControl w:val="false"/>
        <w:tabs>
          <w:tab w:val="clear" w:pos="708"/>
          <w:tab w:val="left" w:pos="0" w:leader="none"/>
        </w:tabs>
        <w:suppressAutoHyphens w:val="false"/>
        <w:spacing w:lineRule="auto" w:line="276" w:before="57" w:after="57"/>
        <w:ind w:hanging="0" w:left="0" w:righ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uppressAutoHyphens w:val="false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1.2</w:t>
      </w:r>
      <w:bookmarkStart w:id="0" w:name="art23§712"/>
      <w:r>
        <w:rPr>
          <w:rFonts w:ascii="Verdana" w:hAnsi="Verdana"/>
          <w:b w:val="false"/>
          <w:bCs w:val="false"/>
          <w:iCs/>
          <w:sz w:val="20"/>
          <w:szCs w:val="20"/>
        </w:rPr>
        <w:t>. Os equipamentos deverão, obrigatoriamente, atender as exigências de qualidade, observados os padrões e normas baixadas pelos órgãos competentes de controle e fiscalização de qualidade industrial ou equiparadas.</w:t>
      </w:r>
      <w:bookmarkStart w:id="1" w:name="art23§711"/>
    </w:p>
    <w:p>
      <w:pPr>
        <w:pStyle w:val="ListParagraph"/>
        <w:suppressAutoHyphens w:val="false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1.3.</w:t>
      </w:r>
      <w:r>
        <w:rPr>
          <w:rFonts w:ascii="Verdana" w:hAnsi="Verdana"/>
          <w:b w:val="false"/>
          <w:bCs w:val="false"/>
          <w:iCs/>
          <w:sz w:val="20"/>
          <w:szCs w:val="20"/>
          <w:u w:val="none"/>
        </w:rPr>
        <w:t xml:space="preserve"> </w:t>
      </w:r>
      <w:r>
        <w:rPr>
          <w:rFonts w:cs="Arial" w:ascii="Verdana" w:hAnsi="Verdana"/>
          <w:b w:val="false"/>
          <w:bCs w:val="false"/>
          <w:iCs/>
          <w:color w:val="000000"/>
          <w:sz w:val="20"/>
          <w:szCs w:val="20"/>
          <w:u w:val="none"/>
        </w:rPr>
        <w:t xml:space="preserve">O prazo de vigência da </w:t>
      </w:r>
      <w:r>
        <w:rPr>
          <w:rFonts w:eastAsia="Times New Roman" w:cs="Arial" w:ascii="Verdana" w:hAnsi="Verdana"/>
          <w:b w:val="false"/>
          <w:bCs w:val="false"/>
          <w:iCs/>
          <w:color w:val="000000"/>
          <w:sz w:val="20"/>
          <w:szCs w:val="20"/>
          <w:u w:val="none"/>
        </w:rPr>
        <w:t>aquisição</w:t>
      </w:r>
      <w:r>
        <w:rPr>
          <w:rFonts w:cs="Arial" w:ascii="Verdana" w:hAnsi="Verdana"/>
          <w:b w:val="false"/>
          <w:bCs w:val="false"/>
          <w:iCs/>
          <w:color w:val="000000"/>
          <w:sz w:val="20"/>
          <w:szCs w:val="20"/>
          <w:u w:val="none"/>
        </w:rPr>
        <w:t xml:space="preserve"> será de 01 </w:t>
      </w:r>
      <w:r>
        <w:rPr>
          <w:rFonts w:eastAsia="Times New Roman" w:cs="Arial" w:ascii="Verdana" w:hAnsi="Verdana"/>
          <w:b w:val="false"/>
          <w:bCs w:val="false"/>
          <w:iCs/>
          <w:color w:val="000000"/>
          <w:sz w:val="20"/>
          <w:szCs w:val="20"/>
          <w:u w:val="none"/>
        </w:rPr>
        <w:t>(um</w:t>
      </w:r>
      <w:r>
        <w:rPr>
          <w:rFonts w:cs="Arial" w:ascii="Verdana" w:hAnsi="Verdana"/>
          <w:b w:val="false"/>
          <w:bCs w:val="false"/>
          <w:iCs/>
          <w:color w:val="000000"/>
          <w:sz w:val="20"/>
          <w:szCs w:val="20"/>
          <w:u w:val="none"/>
        </w:rPr>
        <w:t xml:space="preserve">) </w:t>
      </w:r>
      <w:r>
        <w:rPr>
          <w:rFonts w:cs="Arial" w:ascii="Verdana" w:hAnsi="Verdana"/>
          <w:b w:val="false"/>
          <w:bCs w:val="false"/>
          <w:iCs/>
          <w:color w:val="FF0000"/>
          <w:sz w:val="20"/>
          <w:szCs w:val="20"/>
          <w:u w:val="none"/>
        </w:rPr>
        <w:t xml:space="preserve"> </w:t>
      </w:r>
      <w:r>
        <w:rPr>
          <w:rFonts w:cs="Arial" w:ascii="Verdana" w:hAnsi="Verdana"/>
          <w:b w:val="false"/>
          <w:bCs w:val="false"/>
          <w:iCs/>
          <w:color w:val="auto"/>
          <w:sz w:val="20"/>
          <w:szCs w:val="20"/>
          <w:u w:val="none"/>
        </w:rPr>
        <w:t>ano</w:t>
      </w:r>
      <w:r>
        <w:rPr>
          <w:rFonts w:cs="Arial" w:ascii="Verdana" w:hAnsi="Verdana"/>
          <w:b w:val="false"/>
          <w:bCs w:val="false"/>
          <w:iCs/>
          <w:color w:val="FF0000"/>
          <w:sz w:val="20"/>
          <w:szCs w:val="20"/>
          <w:u w:val="none"/>
        </w:rPr>
        <w:t xml:space="preserve"> </w:t>
      </w:r>
      <w:r>
        <w:rPr>
          <w:rFonts w:cs="Arial" w:ascii="Verdana" w:hAnsi="Verdana"/>
          <w:b w:val="false"/>
          <w:bCs w:val="false"/>
          <w:iCs/>
          <w:color w:val="000000"/>
          <w:sz w:val="20"/>
          <w:szCs w:val="20"/>
          <w:u w:val="none"/>
        </w:rPr>
        <w:t>contados a partir da assinatura da Ata de Registro de Preços.</w:t>
      </w:r>
    </w:p>
    <w:p>
      <w:pPr>
        <w:pStyle w:val="ListParagraph"/>
        <w:tabs>
          <w:tab w:val="clear" w:pos="708"/>
          <w:tab w:val="left" w:pos="0" w:leader="none"/>
        </w:tabs>
        <w:suppressAutoHyphens w:val="false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 xml:space="preserve">1.4. O objeto da contratação será composto por </w:t>
      </w:r>
      <w:r>
        <w:rPr>
          <w:rFonts w:eastAsia="Times New Roman" w:cs="Times New Roman" w:ascii="Verdana" w:hAnsi="Verdana"/>
          <w:b/>
          <w:bCs/>
          <w:iCs/>
          <w:color w:val="000000"/>
          <w:sz w:val="20"/>
          <w:szCs w:val="20"/>
        </w:rPr>
        <w:t>22 itens</w:t>
      </w: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, de preço total orçado previamente pela administração no valor</w:t>
      </w:r>
      <w:r>
        <w:rPr>
          <w:rFonts w:eastAsia="Times New Roman" w:cs="Times New Roman" w:ascii="Verdana" w:hAnsi="Verdana"/>
          <w:b/>
          <w:bCs w:val="false"/>
          <w:iCs/>
          <w:color w:val="000000"/>
          <w:sz w:val="20"/>
          <w:szCs w:val="20"/>
        </w:rPr>
        <w:t xml:space="preserve"> </w:t>
      </w: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  <w:lang w:eastAsia="pt-BR"/>
        </w:rPr>
        <w:t>R$ 1.962.361,60 (um milhão novecentos e sessenta e dois mil trezentos e sessenta e um reais e sessenta centavos)</w:t>
      </w:r>
      <w:r>
        <w:rPr>
          <w:rFonts w:eastAsia="Times New Roman" w:cs="Times New Roman" w:ascii="Verdana" w:hAnsi="Verdana"/>
          <w:b/>
          <w:bCs/>
          <w:iCs/>
          <w:color w:val="000000"/>
          <w:sz w:val="20"/>
          <w:szCs w:val="20"/>
        </w:rPr>
        <w:t xml:space="preserve">. </w:t>
      </w: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 xml:space="preserve">Os equipamentos deverão ser entregues no </w:t>
      </w:r>
      <w:r>
        <w:rPr>
          <w:rFonts w:eastAsia="Times New Roman" w:cs="Times New Roman" w:ascii="Verdana" w:hAnsi="Verdana"/>
          <w:b/>
          <w:bCs/>
          <w:iCs/>
          <w:color w:val="000000"/>
          <w:sz w:val="20"/>
          <w:szCs w:val="20"/>
        </w:rPr>
        <w:t xml:space="preserve">prazo máximo de 45 dias corridos </w:t>
      </w: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após a emissão da Autorização de Fornecimento</w:t>
      </w:r>
      <w:r>
        <w:rPr>
          <w:rFonts w:eastAsia="Times New Roman" w:cs="Times New Roman" w:ascii="Verdana" w:hAnsi="Verdana"/>
          <w:b/>
          <w:bCs/>
          <w:iCs/>
          <w:color w:val="000000"/>
          <w:sz w:val="20"/>
          <w:szCs w:val="20"/>
        </w:rPr>
        <w:t xml:space="preserve">. </w:t>
      </w: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 xml:space="preserve">Para fins de classificação, será considerado o </w:t>
      </w:r>
      <w:r>
        <w:rPr>
          <w:rFonts w:eastAsia="Times New Roman" w:cs="Times New Roman" w:ascii="Verdana" w:hAnsi="Verdana"/>
          <w:b/>
          <w:bCs/>
          <w:iCs/>
          <w:color w:val="000000"/>
          <w:sz w:val="20"/>
          <w:szCs w:val="20"/>
        </w:rPr>
        <w:t>menor preço por item.</w:t>
      </w: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 xml:space="preserve"> Compete à administração buscar o menor dispêndio possível de recursos, assegurando a qualidade da prestação do serviço, o que exige a escolha da solução mais adequada e eficiente dentre as diversas opções existentes já por ocasião da definição do objeto e das condições da contratação, posto que seja essa descrição que impulsiona a seleção da proposta mais vantajosa.</w:t>
      </w:r>
    </w:p>
    <w:p>
      <w:pPr>
        <w:pStyle w:val="ListParagraph"/>
        <w:tabs>
          <w:tab w:val="clear" w:pos="708"/>
          <w:tab w:val="left" w:pos="0" w:leader="none"/>
        </w:tabs>
        <w:suppressAutoHyphens w:val="false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ivel1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Cs/>
          <w:sz w:val="20"/>
          <w:szCs w:val="20"/>
        </w:rPr>
        <w:t>2. FUNDAMENTAÇÃO E DESCRIÇÃO DA NECESSIDADE DA AQUISIÇÃO</w:t>
      </w:r>
      <w:bookmarkStart w:id="2" w:name="art23§73"/>
      <w:bookmarkStart w:id="3" w:name="art23§71"/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2.1. Contratação de empresa especializada, por meio de licitação e registro de preços, para aquisição de equipamentos.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2.2. Considerando a necessidade de atendermos as escolas municipais com os equipamentos;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2.3.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>
        <w:rPr>
          <w:rFonts w:ascii="Verdana" w:hAnsi="Verdana"/>
          <w:b w:val="false"/>
          <w:bCs w:val="false"/>
          <w:sz w:val="20"/>
          <w:szCs w:val="20"/>
        </w:rPr>
        <w:t>Considerando que é responsabilidade da Secretaria Municipal de Educação dar suporte e equipar as escolas a fim de oferecer subsídios para um bom atendimento aos alunos e funcionários, faz se necessária a contratação.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3. DESCRIÇÃO DA SOLUÇÃO</w:t>
      </w:r>
    </w:p>
    <w:p>
      <w:pPr>
        <w:pStyle w:val="Normal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3.1 A solução a ser adotada consiste em aquisição de equipamentos para as unidades escolares e Secretaria Municipal de Educação.</w:t>
      </w:r>
    </w:p>
    <w:p>
      <w:pPr>
        <w:pStyle w:val="Normal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3.2 A aquisição deverá obedecer, no que couber, ao disposto na Lei n.º 14.133/2021 e suas alterações.</w:t>
      </w:r>
    </w:p>
    <w:p>
      <w:pPr>
        <w:pStyle w:val="Normal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3.3 A</w:t>
      </w:r>
      <w:r>
        <w:rPr>
          <w:rFonts w:ascii="Verdana" w:hAnsi="Verdana"/>
          <w:sz w:val="20"/>
          <w:szCs w:val="20"/>
        </w:rPr>
        <w:t>s especificações dos serviços que estão contidas neste Estudo Técnico Preliminar, conforme solicitação de compras em anexo, estão de acordo com os padrões existentes no mercado.</w:t>
      </w:r>
    </w:p>
    <w:p>
      <w:pPr>
        <w:pStyle w:val="Normal"/>
        <w:spacing w:lineRule="auto" w:line="276" w:before="57" w:after="57"/>
        <w:ind w:hanging="0" w:left="0" w:right="0"/>
        <w:rPr>
          <w:rFonts w:ascii="Verdana" w:hAnsi="Verdana"/>
          <w:sz w:val="20"/>
          <w:szCs w:val="20"/>
          <w:lang w:val="pt-BR"/>
        </w:rPr>
      </w:pPr>
      <w:r>
        <w:rPr>
          <w:rFonts w:ascii="Verdana" w:hAnsi="Verdana"/>
          <w:sz w:val="20"/>
          <w:szCs w:val="20"/>
          <w:lang w:val="pt-BR"/>
        </w:rPr>
      </w:r>
    </w:p>
    <w:p>
      <w:pPr>
        <w:pStyle w:val="Nivel1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4. CLASSIFICAÇÃO DOS BENS COMUNS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 xml:space="preserve">4.1. Trata-se de bens comuns a ser contratado mediante </w:t>
      </w: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</w:rPr>
        <w:t>registro de preços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  <w:t>5. REQUISITOS DA CONTRATAÇÃO/AQUISIÇÃO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5.1. A </w:t>
      </w:r>
      <w:r>
        <w:rPr>
          <w:rFonts w:eastAsia="Times New Roman" w:cs="Times New Roman" w:ascii="Verdana" w:hAnsi="Verdana"/>
          <w:b w:val="false"/>
          <w:bCs w:val="false"/>
          <w:sz w:val="20"/>
          <w:szCs w:val="20"/>
        </w:rPr>
        <w:t>aquis</w:t>
      </w:r>
      <w:r>
        <w:rPr>
          <w:rFonts w:eastAsia="Times New Roman" w:cs="Times New Roman" w:ascii="Verdana" w:hAnsi="Verdana"/>
          <w:sz w:val="20"/>
          <w:szCs w:val="20"/>
        </w:rPr>
        <w:t>ição</w:t>
      </w:r>
      <w:r>
        <w:rPr>
          <w:rFonts w:ascii="Verdana" w:hAnsi="Verdana"/>
          <w:sz w:val="20"/>
          <w:szCs w:val="20"/>
        </w:rPr>
        <w:t xml:space="preserve"> deverá observar os seguintes requisitos: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5.1.2. Não haverá danos ao meio ambiente, uma vez que a aquisição não gerará tal problema para a Administração Pública.</w:t>
      </w:r>
    </w:p>
    <w:p>
      <w:pPr>
        <w:pStyle w:val="ListParagraph"/>
        <w:tabs>
          <w:tab w:val="clear" w:pos="708"/>
          <w:tab w:val="left" w:pos="450" w:leader="none"/>
        </w:tabs>
        <w:suppressAutoHyphens w:val="false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</w:rPr>
        <w:t xml:space="preserve">5.1.3. A aquisição se dará por </w:t>
      </w:r>
      <w:r>
        <w:rPr>
          <w:rFonts w:eastAsia="Times New Roman" w:cs="Times New Roman" w:ascii="Verdana" w:hAnsi="Verdana"/>
          <w:b w:val="false"/>
          <w:bCs w:val="false"/>
          <w:i w:val="false"/>
          <w:iCs w:val="false"/>
          <w:sz w:val="20"/>
          <w:szCs w:val="20"/>
        </w:rPr>
        <w:t>registro de preços</w:t>
      </w: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</w:rPr>
        <w:t xml:space="preserve">,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sz w:val="20"/>
          <w:szCs w:val="20"/>
        </w:rPr>
        <w:t xml:space="preserve">sendo necessária a emissão de autorização de fornecimento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sz w:val="20"/>
          <w:szCs w:val="20"/>
          <w:lang w:eastAsia="zh-CN"/>
        </w:rPr>
        <w:t xml:space="preserve">dos itens concedendo o prazo de até 45 (quarenta e cinco) dias corridos para a entrega, </w:t>
      </w: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</w:rPr>
        <w:t>por parte do fornecedor contratado, sendo sagrado vencedor, o fornecedor que apresentar o menor valor por item a ser adquirido.</w:t>
      </w:r>
    </w:p>
    <w:p>
      <w:pPr>
        <w:pStyle w:val="ListParagraph"/>
        <w:tabs>
          <w:tab w:val="clear" w:pos="708"/>
          <w:tab w:val="left" w:pos="450" w:leader="none"/>
        </w:tabs>
        <w:suppressAutoHyphens w:val="false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</w:rPr>
        <w:t xml:space="preserve">5.1.4 </w:t>
      </w: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  <w:u w:val="none"/>
        </w:rPr>
        <w:t xml:space="preserve">A empresa detentora da ata registrará o preço por 01 (um) </w:t>
      </w:r>
      <w:r>
        <w:rPr>
          <w:rFonts w:eastAsia="Times New Roman" w:cs="Times New Roman" w:ascii="Verdana" w:hAnsi="Verdana"/>
          <w:b w:val="false"/>
          <w:bCs w:val="false"/>
          <w:i w:val="false"/>
          <w:iCs w:val="false"/>
          <w:sz w:val="20"/>
          <w:szCs w:val="20"/>
          <w:u w:val="none"/>
        </w:rPr>
        <w:t>ano</w:t>
      </w: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</w:rPr>
        <w:t>, podendo ou não a secretaria requisitar a entrega dos produtos, dependendo da demanda do serviço de acolhimento.</w:t>
      </w:r>
    </w:p>
    <w:p>
      <w:pPr>
        <w:pStyle w:val="Normal"/>
        <w:shd w:fill="FFFFFF"/>
        <w:suppressAutoHyphens w:val="false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Calibri" w:ascii="Verdana" w:hAnsi="Verdana"/>
          <w:b w:val="false"/>
          <w:bCs w:val="false"/>
          <w:sz w:val="20"/>
          <w:szCs w:val="20"/>
          <w:highlight w:val="white"/>
        </w:rPr>
        <w:t xml:space="preserve"> </w:t>
      </w:r>
      <w:r>
        <w:rPr>
          <w:rFonts w:eastAsia="Calibri" w:ascii="Verdana" w:hAnsi="Verdana"/>
          <w:b w:val="false"/>
          <w:bCs w:val="false"/>
          <w:sz w:val="20"/>
          <w:szCs w:val="20"/>
          <w:highlight w:val="white"/>
        </w:rPr>
        <w:t xml:space="preserve">5.1.5. A empresa fornecedora deverá entregar </w:t>
      </w:r>
      <w:r>
        <w:rPr>
          <w:rFonts w:eastAsia="Calibri" w:cs="Times New Roman" w:ascii="Verdana" w:hAnsi="Verdana"/>
          <w:b w:val="false"/>
          <w:bCs w:val="false"/>
          <w:sz w:val="20"/>
          <w:szCs w:val="20"/>
          <w:highlight w:val="white"/>
        </w:rPr>
        <w:t>os objetos</w:t>
      </w:r>
      <w:r>
        <w:rPr>
          <w:rFonts w:eastAsia="Calibri" w:ascii="Verdana" w:hAnsi="Verdana"/>
          <w:b w:val="false"/>
          <w:bCs w:val="false"/>
          <w:sz w:val="20"/>
          <w:szCs w:val="20"/>
          <w:highlight w:val="white"/>
        </w:rPr>
        <w:t xml:space="preserve"> de qualidade de acordo com as especificações apresentadas </w:t>
      </w:r>
      <w:r>
        <w:rPr>
          <w:rFonts w:ascii="Verdana" w:hAnsi="Verdana"/>
          <w:b w:val="false"/>
          <w:bCs w:val="false"/>
          <w:sz w:val="20"/>
          <w:szCs w:val="20"/>
        </w:rPr>
        <w:t xml:space="preserve">na autorização de fornecimento/execução e </w:t>
      </w:r>
      <w:r>
        <w:rPr>
          <w:rFonts w:eastAsia="Calibri" w:ascii="Verdana" w:hAnsi="Verdana"/>
          <w:b w:val="false"/>
          <w:bCs w:val="false"/>
          <w:sz w:val="20"/>
          <w:szCs w:val="20"/>
          <w:highlight w:val="white"/>
        </w:rPr>
        <w:t xml:space="preserve">em perfeitas condições </w:t>
      </w:r>
      <w:r>
        <w:rPr>
          <w:rFonts w:eastAsia="Calibri" w:cs="Times New Roman" w:ascii="Verdana" w:hAnsi="Verdana"/>
          <w:b w:val="false"/>
          <w:bCs w:val="false"/>
          <w:sz w:val="20"/>
          <w:szCs w:val="20"/>
          <w:highlight w:val="white"/>
        </w:rPr>
        <w:t>de uso.</w:t>
      </w:r>
    </w:p>
    <w:p>
      <w:pPr>
        <w:pStyle w:val="ListParagraph"/>
        <w:shd w:fill="FFFFFF"/>
        <w:suppressAutoHyphens w:val="false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eastAsia="Calibri" w:ascii="Verdana" w:hAnsi="Verdana"/>
          <w:b w:val="false"/>
          <w:bCs w:val="false"/>
          <w:sz w:val="20"/>
          <w:szCs w:val="20"/>
          <w:highlight w:val="white"/>
        </w:rPr>
        <w:t xml:space="preserve">5.1.6. A </w:t>
      </w:r>
      <w:r>
        <w:rPr>
          <w:rFonts w:eastAsia="Calibri" w:cs="Times New Roman" w:ascii="Verdana" w:hAnsi="Verdana"/>
          <w:b w:val="false"/>
          <w:bCs w:val="false"/>
          <w:sz w:val="20"/>
          <w:szCs w:val="20"/>
          <w:highlight w:val="white"/>
        </w:rPr>
        <w:t>aquisição</w:t>
      </w:r>
      <w:r>
        <w:rPr>
          <w:rFonts w:eastAsia="Calibri" w:ascii="Verdana" w:hAnsi="Verdana"/>
          <w:b w:val="false"/>
          <w:bCs w:val="false"/>
          <w:sz w:val="20"/>
          <w:szCs w:val="20"/>
          <w:highlight w:val="white"/>
        </w:rPr>
        <w:t xml:space="preserve"> deverá obedecer, no que couber, ao disposto na Lei nº 14.133/2021 e suas alterações.</w:t>
      </w:r>
    </w:p>
    <w:p>
      <w:pPr>
        <w:pStyle w:val="ListParagraph"/>
        <w:tabs>
          <w:tab w:val="clear" w:pos="708"/>
          <w:tab w:val="left" w:pos="450" w:leader="none"/>
        </w:tabs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5.1.7. A empresa </w:t>
      </w:r>
      <w:r>
        <w:rPr>
          <w:rFonts w:eastAsia="Times New Roman" w:cs="Times New Roman" w:ascii="Verdana" w:hAnsi="Verdana"/>
          <w:b w:val="false"/>
          <w:bCs w:val="false"/>
          <w:sz w:val="20"/>
          <w:szCs w:val="20"/>
        </w:rPr>
        <w:t>ganhadora</w:t>
      </w:r>
      <w:r>
        <w:rPr>
          <w:rFonts w:ascii="Verdana" w:hAnsi="Verdana"/>
          <w:b w:val="false"/>
          <w:bCs w:val="false"/>
          <w:sz w:val="20"/>
          <w:szCs w:val="20"/>
        </w:rPr>
        <w:t xml:space="preserve"> deverá entregar os materiais na data estipulada na autorização de fornecimento/execução emitida pelo Departamento de Compras e Contratos.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5.1.8.  Não será admitida a subcontratação do objeto contratual.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5.1.9. Não haverá exigência da garantia da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aquisição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dos arts. 96 e seguintes da Lei nº 14.133/21.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lang w:val="pt-BR"/>
        </w:rPr>
        <w:t>5.10</w:t>
      </w:r>
      <w:r>
        <w:rPr>
          <w:rFonts w:cs="Arial" w:ascii="Verdana" w:hAnsi="Verdana"/>
          <w:b w:val="false"/>
          <w:bCs w:val="false"/>
          <w:sz w:val="20"/>
          <w:szCs w:val="20"/>
        </w:rPr>
        <w:t>.</w:t>
      </w:r>
      <w:r>
        <w:rPr>
          <w:rFonts w:cs="Arial" w:ascii="Verdana" w:hAnsi="Verdana"/>
          <w:sz w:val="20"/>
          <w:szCs w:val="20"/>
        </w:rPr>
        <w:t xml:space="preserve"> Nos preços apresentados deverão estar incluídas todas as despesas com mão de obra, encargos trabalhistas, previdenciários, fiscais, comerciais, despesas e obrigações financeiras de qualquer natureza e outras despesas, diretas e indiretas, inclusive lucro, necessários à perfeita execução do contrato;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cs="Arial"/>
          <w:b w:val="false"/>
          <w:bCs w:val="false"/>
          <w:sz w:val="20"/>
          <w:szCs w:val="20"/>
          <w:u w:val="none"/>
        </w:rPr>
      </w:pPr>
      <w:r>
        <w:rPr>
          <w:rFonts w:cs="Arial" w:ascii="Verdana" w:hAnsi="Verdana"/>
          <w:b w:val="false"/>
          <w:bCs w:val="false"/>
          <w:sz w:val="20"/>
          <w:szCs w:val="20"/>
          <w:u w:val="none"/>
        </w:rPr>
      </w:r>
    </w:p>
    <w:p>
      <w:pPr>
        <w:pStyle w:val="Nivel1"/>
        <w:suppressAutoHyphens w:val="true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ascii="Verdana" w:hAnsi="Verdana"/>
          <w:i w:val="false"/>
          <w:iCs w:val="false"/>
          <w:sz w:val="20"/>
          <w:szCs w:val="20"/>
        </w:rPr>
        <w:t>6. ENTREGA E CRITÉRIOS DE ACEITAÇÃO DO OBJETO.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lang w:val="pt-BR"/>
        </w:rPr>
        <w:t>6</w:t>
      </w:r>
      <w:r>
        <w:rPr>
          <w:rFonts w:cs="Arial" w:ascii="Verdana" w:hAnsi="Verdana"/>
          <w:b w:val="false"/>
          <w:bCs w:val="false"/>
          <w:sz w:val="20"/>
          <w:szCs w:val="20"/>
        </w:rPr>
        <w:t>.1 A entrega deverá ser realizada na Escola Bairro Jardim Vitória rua Valdir Boni, Bairro jardim Vitória, São Gabriel da Palha - ES ou em endereço indicado na Ordem de Fornecimento,</w:t>
      </w:r>
      <w:r>
        <w:rPr>
          <w:rFonts w:cs="Arial" w:ascii="Verdana" w:hAnsi="Verdana"/>
          <w:b/>
          <w:bCs/>
          <w:sz w:val="20"/>
          <w:szCs w:val="20"/>
        </w:rPr>
        <w:t xml:space="preserve"> no prazo máximo de 45 dias corridos </w:t>
      </w:r>
      <w:r>
        <w:rPr>
          <w:rFonts w:cs="Arial" w:ascii="Verdana" w:hAnsi="Verdana"/>
          <w:b w:val="false"/>
          <w:bCs w:val="false"/>
          <w:sz w:val="20"/>
          <w:szCs w:val="20"/>
        </w:rPr>
        <w:t>após a emissão de Autorização de Fornecimento.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6.1.1  CONTATO</w:t>
      </w:r>
    </w:p>
    <w:p>
      <w:pPr>
        <w:pStyle w:val="Normal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Tel: 27 3727-3993</w:t>
      </w:r>
    </w:p>
    <w:p>
      <w:pPr>
        <w:pStyle w:val="Normal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Email: financeirosemecsgp@gmail.com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Responsável: Secretaria Municipal de Educação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lang w:val="pt-BR"/>
        </w:rPr>
        <w:t>6</w:t>
      </w:r>
      <w:r>
        <w:rPr>
          <w:rFonts w:cs="Arial" w:ascii="Verdana" w:hAnsi="Verdana"/>
          <w:b w:val="false"/>
          <w:bCs w:val="false"/>
          <w:sz w:val="20"/>
          <w:szCs w:val="20"/>
        </w:rPr>
        <w:t>.2 A entrega deverá ocorrer sem qualquer ônus adicional, bem como a descarga e todas as demais despesas provenientes da mesma, previamente agendada com a Secretaria Municipal de Educação;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lang w:val="pt-BR"/>
        </w:rPr>
        <w:t>6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.3 A Empresa vencedora garantirá a qualidade dos materiais obrigando-se a repor aquele que apresentar defeito ou for entregue em desacordo com o apresentado na proposta; 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lang w:val="pt-BR"/>
        </w:rPr>
        <w:t>6</w:t>
      </w:r>
      <w:r>
        <w:rPr>
          <w:rFonts w:cs="Arial" w:ascii="Verdana" w:hAnsi="Verdana"/>
          <w:b w:val="false"/>
          <w:bCs w:val="false"/>
          <w:sz w:val="20"/>
          <w:szCs w:val="20"/>
        </w:rPr>
        <w:t>.</w:t>
      </w:r>
      <w:r>
        <w:rPr>
          <w:rFonts w:cs="Arial" w:ascii="Verdana" w:hAnsi="Verdana"/>
          <w:b w:val="false"/>
          <w:bCs w:val="false"/>
          <w:sz w:val="20"/>
          <w:szCs w:val="20"/>
          <w:lang w:val="pt-BR"/>
        </w:rPr>
        <w:t>4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 O recebimento provisório dos equipamentos entregue dar-se-á pela conferência com a descrição constante da ordem de fornecimento ou serviço;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lang w:val="pt-BR"/>
        </w:rPr>
        <w:t>6</w:t>
      </w:r>
      <w:r>
        <w:rPr>
          <w:rFonts w:cs="Arial" w:ascii="Verdana" w:hAnsi="Verdana"/>
          <w:b w:val="false"/>
          <w:bCs w:val="false"/>
          <w:sz w:val="20"/>
          <w:szCs w:val="20"/>
        </w:rPr>
        <w:t>.</w:t>
      </w:r>
      <w:r>
        <w:rPr>
          <w:rFonts w:cs="Arial" w:ascii="Verdana" w:hAnsi="Verdana"/>
          <w:b w:val="false"/>
          <w:bCs w:val="false"/>
          <w:sz w:val="20"/>
          <w:szCs w:val="20"/>
          <w:lang w:val="pt-BR"/>
        </w:rPr>
        <w:t>5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 O recebimento definitivo ocorrerá com a verificação integral das características do produto fornecido pela CONTRATADA;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lang w:val="pt-BR"/>
        </w:rPr>
        <w:t>6</w:t>
      </w:r>
      <w:r>
        <w:rPr>
          <w:rFonts w:cs="Arial" w:ascii="Verdana" w:hAnsi="Verdana"/>
          <w:b w:val="false"/>
          <w:bCs w:val="false"/>
          <w:sz w:val="20"/>
          <w:szCs w:val="20"/>
        </w:rPr>
        <w:t>.</w:t>
      </w:r>
      <w:r>
        <w:rPr>
          <w:rFonts w:cs="Arial" w:ascii="Verdana" w:hAnsi="Verdana"/>
          <w:b w:val="false"/>
          <w:bCs w:val="false"/>
          <w:sz w:val="20"/>
          <w:szCs w:val="20"/>
          <w:lang w:val="pt-BR"/>
        </w:rPr>
        <w:t>6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 O recebimento definitivo não isenta a CONTRATADA de responsabilidades futuras quanto à qualidade dos fornecimentos e serviços prestados.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lang w:val="pt-BR"/>
        </w:rPr>
        <w:t>6</w:t>
      </w:r>
      <w:r>
        <w:rPr>
          <w:rFonts w:cs="Arial" w:ascii="Verdana" w:hAnsi="Verdana"/>
          <w:b w:val="false"/>
          <w:bCs w:val="false"/>
          <w:sz w:val="20"/>
          <w:szCs w:val="20"/>
        </w:rPr>
        <w:t>.</w:t>
      </w:r>
      <w:r>
        <w:rPr>
          <w:rFonts w:cs="Arial" w:ascii="Verdana" w:hAnsi="Verdana"/>
          <w:b w:val="false"/>
          <w:bCs w:val="false"/>
          <w:sz w:val="20"/>
          <w:szCs w:val="20"/>
          <w:lang w:val="pt-BR"/>
        </w:rPr>
        <w:t>7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 O recebimento provisório dos produtos não implica em aceitação dos mesmos;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lang w:val="pt-BR"/>
        </w:rPr>
        <w:t>6</w:t>
      </w:r>
      <w:r>
        <w:rPr>
          <w:rFonts w:cs="Arial" w:ascii="Verdana" w:hAnsi="Verdana"/>
          <w:b w:val="false"/>
          <w:bCs w:val="false"/>
          <w:sz w:val="20"/>
          <w:szCs w:val="20"/>
        </w:rPr>
        <w:t>.</w:t>
      </w:r>
      <w:r>
        <w:rPr>
          <w:rFonts w:cs="Arial" w:ascii="Verdana" w:hAnsi="Verdana"/>
          <w:b w:val="false"/>
          <w:bCs w:val="false"/>
          <w:sz w:val="20"/>
          <w:szCs w:val="20"/>
          <w:lang w:val="pt-BR"/>
        </w:rPr>
        <w:t>8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 Os </w:t>
      </w:r>
      <w:r>
        <w:rPr>
          <w:rFonts w:cs="Arial" w:ascii="Verdana" w:hAnsi="Verdana"/>
          <w:b w:val="false"/>
          <w:bCs w:val="false"/>
          <w:sz w:val="20"/>
          <w:szCs w:val="20"/>
          <w:lang w:val="pt-BR"/>
        </w:rPr>
        <w:t>equipamentos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 que não estiverem de acordo com as especificações exigidas, apresentem vicio de qualidade ou impropriedade para o uso, serão recusad</w:t>
      </w:r>
      <w:r>
        <w:rPr>
          <w:rFonts w:cs="Arial" w:ascii="Verdana" w:hAnsi="Verdana"/>
          <w:b w:val="false"/>
          <w:bCs w:val="false"/>
          <w:sz w:val="20"/>
          <w:szCs w:val="20"/>
          <w:lang w:val="pt-BR"/>
        </w:rPr>
        <w:t>o</w:t>
      </w:r>
      <w:r>
        <w:rPr>
          <w:rFonts w:cs="Arial" w:ascii="Verdana" w:hAnsi="Verdana"/>
          <w:b w:val="false"/>
          <w:bCs w:val="false"/>
          <w:sz w:val="20"/>
          <w:szCs w:val="20"/>
        </w:rPr>
        <w:t>s e devolvid</w:t>
      </w:r>
      <w:r>
        <w:rPr>
          <w:rFonts w:cs="Arial" w:ascii="Verdana" w:hAnsi="Verdana"/>
          <w:b w:val="false"/>
          <w:bCs w:val="false"/>
          <w:sz w:val="20"/>
          <w:szCs w:val="20"/>
          <w:lang w:val="pt-BR"/>
        </w:rPr>
        <w:t>o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s parcial ou totalmente, conforme caso, ficando a CONTRATADA, obrigada a substitui-los no prazo de 5 (cinco) dias </w:t>
      </w:r>
      <w:r>
        <w:rPr>
          <w:rFonts w:cs="Arial" w:ascii="Verdana" w:hAnsi="Verdana"/>
          <w:b w:val="false"/>
          <w:bCs w:val="false"/>
          <w:sz w:val="20"/>
          <w:szCs w:val="20"/>
          <w:lang w:val="pt-BR"/>
        </w:rPr>
        <w:t>úteis</w:t>
      </w:r>
      <w:r>
        <w:rPr>
          <w:rFonts w:cs="Arial" w:ascii="Verdana" w:hAnsi="Verdana"/>
          <w:b w:val="false"/>
          <w:bCs w:val="false"/>
          <w:sz w:val="20"/>
          <w:szCs w:val="20"/>
        </w:rPr>
        <w:t>, contadas do recebimento da notificação escrita, sob pena de incorrer em atraso quanto ao prazo de execução;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lang w:val="pt-BR"/>
        </w:rPr>
        <w:t>6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.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lang w:val="pt-BR"/>
        </w:rPr>
        <w:t>9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Havendo erro na Nota Fiscal ou outra circunstância impeditiva, o recebimento definitivo será suspenso, até que a empresa tome as medidas saneadoras necessárias;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cs="Arial"/>
          <w:b w:val="false"/>
          <w:bCs w:val="false"/>
          <w:i w:val="false"/>
          <w:i w:val="false"/>
          <w:iCs w:val="false"/>
          <w:color w:val="00000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</w:rPr>
        <w:t>7. OBRIGAÇÕES DA CONTRATANTE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7.1.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Receber os equipamentos no prazo e condições estabelecidas neste Termo de Referência e seus anexos.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7.2. </w:t>
      </w:r>
      <w:bookmarkStart w:id="4" w:name="page68R_mcid7"/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Verificar minuciosamente, no prazo fixado, a conformidade dos bens recebidos provisoriamente com as especificações constantes neste Termo de Referência e da proposta, para fins de aceitação e recebimento definitivo.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7.3. Comunicar à Contratada, por escrito, sobre imperfeições, falhas ou irregularidades verificadas no objeto fornecido, para que seja substituído, reparado ou corrigido.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7.4. Acompanhar e fiscalizar o cumprimento das obrigações da Contratada, através de comissão/servidor especialmente designado.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7.5. Efetuar o pagamento à Contratada no valor correspondente ao fornecimento dos objetos, no prazo e forma estabelecidos neste TR e seus anexos.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7.6.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A Administração não responderá por quaisquer compromissos assumidos pela Contratada com terceiros, ainda que vinculados à execução da presente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Ata de Registro de Preços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, bem como por qualquer dano causado a terceiros em decorrência de ato da Contratada, de seus empregados, prepostos ou subordinados.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</w:rPr>
        <w:t>8. OBRIGAÇÕES DA CONTRATADA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8.1. A Contratada deve cumprir todas as obrigações constantes neste TR, seus anexos e sua proposta, assumindo como exclusivamente seus os riscos e as despesas decorrentes da boa e perfeita execução do objeto.</w:t>
      </w:r>
      <w:bookmarkStart w:id="5" w:name="page68R_mcid171"/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8.2. Efetuar a entrega do objeto em perfeitas condições, conforme especificações, prazo e local constantes no Termo de Referência e seus anexos, acompanhado da respectiva nota fiscal, na qual constarão as indicações referentes a: marca, fabricante, modelo, procedência e prazo de validade.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8.3. Responsabilizar-se pelos vícios e danos decorrentes do objeto, de acordo com os artigos 12, 13 e 17 a 27, do Código de Defesa do Consumidor (Lei nº 8.078, de 1990).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8.4. Substituir, reparar ou corrigir, às suas expensas, no prazo fixado neste Termo de Referência, o objeto com avarias ou defeitos.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8.5.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Comunicar à Contratante, no prazo máximo de 72 (setenta e duas) horas que antecede a data da entrega, os motivos que impossibilitem o cumprimento do prazo previsto, com a devida comprovação.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8.6.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Manter, durante toda a execução d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a ata de registro de preços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, em compatibilidade com as obrigações assumidas, todas as condições de habilitação e qualificação exigidas na licitação.</w:t>
      </w:r>
    </w:p>
    <w:p>
      <w:pPr>
        <w:pStyle w:val="Normal"/>
        <w:tabs>
          <w:tab w:val="clear" w:pos="708"/>
          <w:tab w:val="left" w:pos="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8.7.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Indicar preposto para representá-la durante a execução Da ata de registro de preços.</w:t>
      </w:r>
    </w:p>
    <w:p>
      <w:pPr>
        <w:pStyle w:val="Normal"/>
        <w:tabs>
          <w:tab w:val="clear" w:pos="708"/>
          <w:tab w:val="left" w:pos="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8.8.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A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contratada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será responsável pela observância das leis, decretos, regulamentos, portarias e normas federais, estaduais e municipais direta e indiretamente aplicáveis ao objeto do contrato.</w:t>
      </w:r>
    </w:p>
    <w:p>
      <w:pPr>
        <w:pStyle w:val="Normal"/>
        <w:tabs>
          <w:tab w:val="clear" w:pos="708"/>
          <w:tab w:val="left" w:pos="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8.9.Durante a execução da ata de registro de preços, a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contratada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deverá:</w:t>
      </w:r>
      <w:r>
        <w:rPr>
          <w:rFonts w:ascii="Verdana" w:hAnsi="Verdana"/>
          <w:sz w:val="20"/>
          <w:szCs w:val="20"/>
        </w:rPr>
        <w:br/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8.9.1.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Atender prontamente às solicitações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da secretaria e seus equipamentos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, no fornecimento d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os objetos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nas quantidades e especificações deste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termo de referência.</w:t>
      </w:r>
    </w:p>
    <w:p>
      <w:pPr>
        <w:pStyle w:val="Normal"/>
        <w:tabs>
          <w:tab w:val="clear" w:pos="708"/>
          <w:tab w:val="left" w:pos="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8.9.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2. Entregar os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objetos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acondicionados adequadamente, em invólucro lacrado, de forma a permitir completa segurança durante o transporte, acompanhado de nota fiscal, discriminado o quantitativo do produto, de acordo com as especificações técnicas.</w:t>
      </w:r>
    </w:p>
    <w:p>
      <w:pPr>
        <w:pStyle w:val="Normal"/>
        <w:tabs>
          <w:tab w:val="clear" w:pos="708"/>
          <w:tab w:val="left" w:pos="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8.9.3.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A nota fiscal deverá ser acompanhada pelas Certidões de Regularidades Fiscais.</w:t>
      </w:r>
      <w:r>
        <w:rPr>
          <w:rFonts w:ascii="Verdana" w:hAnsi="Verdana"/>
          <w:sz w:val="20"/>
          <w:szCs w:val="20"/>
        </w:rPr>
        <w:br/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8.9.4. </w:t>
      </w:r>
      <w:bookmarkStart w:id="6" w:name="_GoBack1111"/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Substituir quaisquer objeto que não esteja dentro do padrão de qualidade, em bom estado de conservação, que apresente defeito ou não esteja em conformidade com as especificações da proposta apresentada.</w:t>
      </w:r>
    </w:p>
    <w:p>
      <w:pPr>
        <w:pStyle w:val="Normal"/>
        <w:tabs>
          <w:tab w:val="clear" w:pos="708"/>
          <w:tab w:val="left" w:pos="0" w:leader="none"/>
        </w:tabs>
        <w:spacing w:lineRule="auto" w:line="276" w:before="57" w:after="57"/>
        <w:ind w:hanging="0" w:left="0" w:righ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</w:rPr>
        <w:t>9. DO CONTROLE E FISCALIZAÇÃO DA EXECUÇÃO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9.1. A fiscalização será realizado por servidor da secretaria requisitante para acompanhar e fiscalizar a entrega dos bens, anotando em registro próprio todas as ocorrências relacionadas com a execução e determinando o que for necessário à regularização de falhas ou defeitos observados.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9.2. A fiscalização de que trata este item não exclui nem reduz a responsabilidade da Contratada, inclusive perante terceiros, por qualquer irregularidade, ainda que resultante de imperfeições técnicas ou vícios redibitórios, e na ocorrência desta, não implica em responsabilidade da Administração ou de seus agentes e prepostos, de conformidade com a Lei n.º 14.133/2021.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10. CRITÉRIOS DE PAGAMENTO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 xml:space="preserve">10.1. Recebida a Nota Fiscal ou documento de cobrança equivalente, correrá o prazo de </w:t>
      </w:r>
      <w:r>
        <w:rPr>
          <w:rFonts w:eastAsia="Times New Roman" w:cs="Times New Roman" w:ascii="Verdana" w:hAnsi="Verdana"/>
          <w:b w:val="false"/>
          <w:bCs w:val="false"/>
          <w:sz w:val="20"/>
          <w:szCs w:val="20"/>
          <w:lang w:eastAsia="en-US"/>
        </w:rPr>
        <w:t>(30) trinta</w:t>
      </w: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 xml:space="preserve"> dias úteis para fins de liquidação, na forma desta seção, prorrogáveis por igual período.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b w:val="false"/>
          <w:bCs w:val="false"/>
          <w:sz w:val="20"/>
          <w:szCs w:val="20"/>
        </w:rPr>
        <w:t xml:space="preserve">10.2. O prazo de que trata o item anterior será reduzido à metade, mantendo-se a possibilidade de prorrogação, no caso de contratações decorrentes de despesas cujos valores não ultrapassem o limite de que trata o </w:t>
      </w:r>
      <w:r>
        <w:fldChar w:fldCharType="begin"/>
      </w:r>
      <w:r>
        <w:rPr>
          <w:rStyle w:val="ListLabel55"/>
          <w:sz w:val="20"/>
          <w:u w:val="none"/>
          <w:b w:val="false"/>
          <w:szCs w:val="20"/>
          <w:bCs w:val="false"/>
          <w:rFonts w:ascii="Verdana" w:hAnsi="Verdana"/>
          <w:color w:val="000000"/>
        </w:rPr>
        <w:instrText xml:space="preserve"> HYPERLINK "http://www.planalto.gov.br/ccivil_03/_ato2019-2022/2021/lei/L14133.htm" \l "art75"</w:instrText>
      </w:r>
      <w:r>
        <w:rPr>
          <w:rStyle w:val="ListLabel55"/>
          <w:sz w:val="20"/>
          <w:u w:val="none"/>
          <w:b w:val="false"/>
          <w:szCs w:val="20"/>
          <w:bCs w:val="false"/>
          <w:rFonts w:ascii="Verdana" w:hAnsi="Verdana"/>
          <w:color w:val="000000"/>
        </w:rPr>
        <w:fldChar w:fldCharType="separate"/>
      </w:r>
      <w:r>
        <w:rPr>
          <w:rStyle w:val="ListLabel55"/>
          <w:rFonts w:ascii="Verdana" w:hAnsi="Verdana"/>
          <w:b w:val="false"/>
          <w:bCs w:val="false"/>
          <w:color w:val="000000"/>
          <w:sz w:val="20"/>
          <w:szCs w:val="20"/>
          <w:u w:val="none"/>
        </w:rPr>
        <w:t>inciso II do art. 75 da Lei nº 14.133, de 2021</w:t>
      </w:r>
      <w:r>
        <w:rPr>
          <w:rStyle w:val="ListLabel55"/>
          <w:sz w:val="20"/>
          <w:u w:val="none"/>
          <w:b w:val="false"/>
          <w:szCs w:val="20"/>
          <w:bCs w:val="false"/>
          <w:rFonts w:ascii="Verdana" w:hAnsi="Verdana"/>
          <w:color w:val="000000"/>
        </w:rPr>
        <w:fldChar w:fldCharType="end"/>
      </w:r>
      <w:r>
        <w:rPr>
          <w:rFonts w:ascii="Verdana" w:hAnsi="Verdana"/>
          <w:b w:val="false"/>
          <w:bCs w:val="false"/>
          <w:color w:val="000000"/>
          <w:sz w:val="20"/>
          <w:szCs w:val="20"/>
          <w:u w:val="none"/>
        </w:rPr>
        <w:t>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10.3. Para fins de liquidação, o setor competente deverá verificar se a nota fiscal ou instrumento de cobrança equivalente apresentado expressa os elementos necessários e essenciais do documento, tais como: </w:t>
      </w:r>
    </w:p>
    <w:p>
      <w:pPr>
        <w:pStyle w:val="Normal"/>
        <w:tabs>
          <w:tab w:val="clear" w:pos="708"/>
          <w:tab w:val="left" w:pos="563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- O prazo de validade;</w:t>
      </w:r>
    </w:p>
    <w:p>
      <w:pPr>
        <w:pStyle w:val="Normal"/>
        <w:tabs>
          <w:tab w:val="clear" w:pos="708"/>
          <w:tab w:val="left" w:pos="563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- A data da emissão; </w:t>
      </w:r>
    </w:p>
    <w:p>
      <w:pPr>
        <w:pStyle w:val="Normal"/>
        <w:tabs>
          <w:tab w:val="clear" w:pos="708"/>
          <w:tab w:val="left" w:pos="563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- Os dados do contrato e do órgão contratante; </w:t>
      </w:r>
    </w:p>
    <w:p>
      <w:pPr>
        <w:pStyle w:val="Normal"/>
        <w:tabs>
          <w:tab w:val="clear" w:pos="708"/>
          <w:tab w:val="left" w:pos="563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- O período respectivo de execução do contrato; </w:t>
      </w:r>
    </w:p>
    <w:p>
      <w:pPr>
        <w:pStyle w:val="Normal"/>
        <w:tabs>
          <w:tab w:val="clear" w:pos="708"/>
          <w:tab w:val="left" w:pos="563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- O valor a pagar; e </w:t>
      </w:r>
    </w:p>
    <w:p>
      <w:pPr>
        <w:pStyle w:val="Normal"/>
        <w:tabs>
          <w:tab w:val="clear" w:pos="708"/>
          <w:tab w:val="left" w:pos="563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- Eventual destaque do valor de retenções tributárias cabíveis.</w:t>
      </w:r>
    </w:p>
    <w:p>
      <w:pPr>
        <w:pStyle w:val="Normal"/>
        <w:tabs>
          <w:tab w:val="clear" w:pos="708"/>
          <w:tab w:val="left" w:pos="625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10.4. Haven</w:t>
      </w:r>
      <w:r>
        <w:rPr>
          <w:rFonts w:ascii="Verdana" w:hAnsi="Verdana"/>
          <w:sz w:val="20"/>
          <w:szCs w:val="20"/>
        </w:rPr>
        <w:t>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>
      <w:pPr>
        <w:pStyle w:val="Normal"/>
        <w:tabs>
          <w:tab w:val="clear" w:pos="708"/>
          <w:tab w:val="left" w:pos="109" w:leader="none"/>
        </w:tabs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b w:val="false"/>
          <w:bCs w:val="false"/>
          <w:sz w:val="20"/>
          <w:szCs w:val="20"/>
        </w:rPr>
        <w:t>10.5. A</w:t>
      </w: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 xml:space="preserve"> nota fisc</w:t>
      </w:r>
      <w:r>
        <w:rPr>
          <w:rFonts w:ascii="Verdana" w:hAnsi="Verdana"/>
          <w:sz w:val="20"/>
          <w:szCs w:val="20"/>
          <w:lang w:eastAsia="en-US"/>
        </w:rPr>
        <w:t>al ou instrumento de cobrança equivalente deverá ser obrigatoriamente acompanhado da comprovação da regularidade fiscal</w:t>
      </w:r>
      <w:r>
        <w:rPr>
          <w:rStyle w:val="InternetLink"/>
          <w:rFonts w:ascii="Verdana" w:hAnsi="Verdana"/>
          <w:sz w:val="20"/>
          <w:szCs w:val="20"/>
          <w:lang w:eastAsia="en-US"/>
        </w:rPr>
        <w:t>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</w:rPr>
        <w:t>10.6. O pagamento será efetuado no prazo de até 30 (trinta) dias úteis contados da finalização da liquidação da despesa.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</w:rPr>
        <w:t>10.7. O pagamento será realizado por meio de ordem bancária, para crédito em banco, agência e conta corrente indicados pelo contratado.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</w:rPr>
        <w:t>10.8. Será considerada data do pagamento o dia em que constar como emitida a ordem bancária para pagamento.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</w:rPr>
        <w:t>10.9. Quando do pagamento, será efetuada a retenção tributária prevista na legislação aplicável.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  <w:lang w:eastAsia="en-US"/>
        </w:rPr>
        <w:t xml:space="preserve">10.10. O contratado regularmente optante pelo Simples Nacional, nos termos da </w:t>
      </w:r>
      <w:hyperlink r:id="rId2">
        <w:r>
          <w:rPr>
            <w:rStyle w:val="ListLabel56"/>
            <w:rFonts w:ascii="Verdana" w:hAnsi="Verdana"/>
            <w:b w:val="false"/>
            <w:bCs w:val="false"/>
            <w:i w:val="false"/>
            <w:iCs w:val="false"/>
            <w:sz w:val="20"/>
            <w:szCs w:val="20"/>
            <w:u w:val="none"/>
            <w:lang w:eastAsia="en-US"/>
          </w:rPr>
          <w:t>Lei Complementar nº 123, de 2006</w:t>
        </w:r>
      </w:hyperlink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  <w:lang w:eastAsia="en-US"/>
        </w:rPr>
        <w:t>10.11. Conforme Decreto Municipal nº 3.86/2023 será retido o Imposto de Renda na Fonte nos pagamentos efetuados por Órgãos, Autarquias e Fundações instituídas  e mantidas pelo Município de São Gabriel da Palha a pessoas jurídicas pelo fornecimento de bens e prestação de serviços.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10.11.</w:t>
      </w:r>
      <w:r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 Após o prazo acima referenciado, será paga multa financeira nos seguintes termos: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76" w:before="57" w:after="57"/>
        <w:ind w:hanging="0" w:left="0" w:right="0"/>
        <w:contextualSpacing w:val="false"/>
        <w:jc w:val="center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sz w:val="20"/>
          <w:szCs w:val="20"/>
        </w:rPr>
        <w:t xml:space="preserve">VM = VF </w:t>
      </w:r>
      <w:r>
        <w:rPr>
          <w:rFonts w:cs="Verdana" w:ascii="Verdana" w:hAnsi="Verdana"/>
          <w:sz w:val="20"/>
          <w:szCs w:val="20"/>
          <w:vertAlign w:val="subscript"/>
        </w:rPr>
        <w:t>*</w:t>
      </w:r>
      <w:r>
        <w:rPr>
          <w:rFonts w:cs="Verdana" w:ascii="Verdana" w:hAnsi="Verdana"/>
          <w:sz w:val="20"/>
          <w:szCs w:val="20"/>
        </w:rPr>
        <w:t xml:space="preserve"> </w:t>
      </w:r>
      <w:r>
        <w:rPr>
          <w:rFonts w:cs="Verdana" w:ascii="Verdana" w:hAnsi="Verdana"/>
          <w:sz w:val="20"/>
          <w:szCs w:val="20"/>
          <w:u w:val="single"/>
        </w:rPr>
        <w:t>0,33</w:t>
      </w:r>
      <w:r>
        <w:rPr>
          <w:rFonts w:cs="Verdana" w:ascii="Verdana" w:hAnsi="Verdana"/>
          <w:sz w:val="20"/>
          <w:szCs w:val="20"/>
        </w:rPr>
        <w:t xml:space="preserve"> </w:t>
      </w:r>
      <w:r>
        <w:rPr>
          <w:rFonts w:cs="Verdana" w:ascii="Verdana" w:hAnsi="Verdana"/>
          <w:sz w:val="20"/>
          <w:szCs w:val="20"/>
          <w:vertAlign w:val="subscript"/>
        </w:rPr>
        <w:t>*</w:t>
      </w:r>
      <w:r>
        <w:rPr>
          <w:rFonts w:cs="Verdana" w:ascii="Verdana" w:hAnsi="Verdana"/>
          <w:sz w:val="20"/>
          <w:szCs w:val="20"/>
        </w:rPr>
        <w:t xml:space="preserve"> ND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76" w:before="57" w:after="57"/>
        <w:ind w:hanging="0" w:left="0" w:right="0"/>
        <w:contextualSpacing w:val="false"/>
        <w:jc w:val="center"/>
        <w:rPr>
          <w:rFonts w:ascii="Verdana" w:hAnsi="Verdana"/>
          <w:sz w:val="20"/>
          <w:szCs w:val="20"/>
        </w:rPr>
      </w:pPr>
      <w:r>
        <w:rPr>
          <w:rFonts w:eastAsia="Verdana" w:cs="Verdana" w:ascii="Verdana" w:hAnsi="Verdana"/>
          <w:sz w:val="20"/>
          <w:szCs w:val="20"/>
        </w:rPr>
        <w:t xml:space="preserve">        </w:t>
      </w:r>
      <w:r>
        <w:rPr>
          <w:rFonts w:cs="Verdana" w:ascii="Verdana" w:hAnsi="Verdana"/>
          <w:sz w:val="20"/>
          <w:szCs w:val="20"/>
        </w:rPr>
        <w:t>100</w:t>
      </w:r>
    </w:p>
    <w:p>
      <w:pPr>
        <w:pStyle w:val="Normal"/>
        <w:suppressAutoHyphens w:val="false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 xml:space="preserve">Onde: </w:t>
      </w:r>
    </w:p>
    <w:p>
      <w:pPr>
        <w:pStyle w:val="Normal"/>
        <w:suppressAutoHyphens w:val="false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 xml:space="preserve">VM = Valor da Multa Financeira; </w:t>
      </w:r>
    </w:p>
    <w:p>
      <w:pPr>
        <w:pStyle w:val="Normal"/>
        <w:suppressAutoHyphens w:val="false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 xml:space="preserve">VF = Valor da Nota Fiscal; 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76" w:before="57" w:after="57"/>
        <w:ind w:hanging="0" w:left="0" w:right="0"/>
        <w:contextualSpacing w:val="false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color w:val="000000"/>
          <w:sz w:val="20"/>
          <w:szCs w:val="20"/>
        </w:rPr>
        <w:t>ND = Número de dias em atraso.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76" w:before="57" w:after="57"/>
        <w:ind w:hanging="0" w:left="0" w:right="0"/>
        <w:contextualSpacing w:val="false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</w:rPr>
        <w:t xml:space="preserve">10.12..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A NOTA FISCAL ELETRÔNICA deverá conter o mesmo CNPJ e razão social apresentados quando na proposta, assim como, o número da contratação, o (s) objeto (s), os valores unitários e totais.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76" w:before="57" w:after="57"/>
        <w:ind w:hanging="0" w:left="0" w:right="0"/>
        <w:contextualSpacing w:val="false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</w:rPr>
        <w:t>10.13.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 xml:space="preserve"> Qualquer alteração feita no contrato social, ato constitutivo ou estatuto deverá ser co</w:t>
      </w:r>
      <w:r>
        <w:rPr>
          <w:rFonts w:cs="Arial" w:ascii="Verdana" w:hAnsi="Verdana"/>
          <w:color w:val="000000"/>
          <w:sz w:val="20"/>
          <w:szCs w:val="20"/>
        </w:rPr>
        <w:t xml:space="preserve">municado ao CONTRATANTE, mediante documentação própria, para apreciação da autoridade competente. 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76" w:before="57" w:after="57"/>
        <w:ind w:hanging="0" w:left="0" w:right="0"/>
        <w:contextualSpacing w:val="false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</w:rPr>
        <w:t xml:space="preserve">10.14.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O CONTRATANTE poderá deduzir do pagamento importâncias que a qualquer título lhe forem devidos pela empresa CONTRATADA, em decorrência de descumprimento de suas obrigações.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76" w:before="57" w:after="57"/>
        <w:ind w:hanging="0" w:left="0" w:right="0"/>
        <w:contextualSpacing w:val="false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10.15.</w:t>
      </w:r>
      <w:r>
        <w:rPr>
          <w:rFonts w:cs="Arial" w:ascii="Verdana" w:hAnsi="Verdana"/>
          <w:sz w:val="20"/>
          <w:szCs w:val="20"/>
        </w:rPr>
        <w:t xml:space="preserve"> Para a efetivação do pagamento, a CONTRATADA deverá manter as mesmas </w:t>
      </w:r>
      <w:r>
        <w:rPr>
          <w:rFonts w:cs="Arial" w:ascii="Verdana" w:hAnsi="Verdana"/>
          <w:sz w:val="20"/>
          <w:szCs w:val="20"/>
          <w:lang w:eastAsia="pt-BR"/>
        </w:rPr>
        <w:t>condições relativas à proposta de preço e a habilitação;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/>
          <w:bCs/>
          <w:iCs/>
          <w:color w:val="000000"/>
          <w:sz w:val="20"/>
          <w:szCs w:val="20"/>
        </w:rPr>
        <w:t>11</w:t>
      </w:r>
      <w:r>
        <w:rPr>
          <w:rFonts w:ascii="Verdana" w:hAnsi="Verdana"/>
          <w:b/>
          <w:bCs/>
          <w:iCs/>
          <w:sz w:val="20"/>
          <w:szCs w:val="20"/>
        </w:rPr>
        <w:t>. DAS SANÇÕES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 Comete infração administrativa o fornecedor/prestador de serviço que cometer quaisquer das infrações previstas no art. 155 da Lei nº 14.133, de 2021, quais sejam: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.1.1. Dar causa à inexecução parcial do contrato.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.1.2. Dar causa à inexecução parcial que cause grave dano à Administração, ao funcionamento dos serviços públicos ou ao interesse coletivo.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.1.3. Dar causa à inexecução total;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.1.4. Deixar de entregar a documentação exigida para o certame.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.1.5. Não manter a proposta, salvo em decorrência de fato superveniente devidamente justificado.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 xml:space="preserve">.1.6. Não celebrar o contrato ou não entregar a documentação exigida para a contratação, quando convocado dentro do prazo de validade de sua proposta. 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.1.7. Ensejar o retardamento da execução ou da entrega do objeto sem motivo justificado,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.1.8. Apresentar declaração ou documentação falsa exigida para o certame ou prestar declaração falsa durante a dispensa eletrônica ou a execução do objeto.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11.1.9. Fraudar a dispensa eletrônica ou praticar ato fraudulento na execução do objeto.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.1.10. Comportar-se de modo inidôneo ou cometer fraude de qualquer natureza.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.1.11. Praticar atos ilícitos com vistas a frustrar os objetivos deste certame.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.1.12. Praticar ato lesivo previsto no art. 5º da Lei nº 12.846, de 1º de agosto de 2013.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11.1.13.</w:t>
      </w:r>
      <w:r>
        <w:rPr>
          <w:rFonts w:ascii="Verdana" w:hAnsi="Verdana"/>
          <w:b w:val="false"/>
          <w:bCs w:val="false"/>
          <w:iCs/>
          <w:sz w:val="20"/>
          <w:szCs w:val="20"/>
        </w:rPr>
        <w:t xml:space="preserve"> O fornecedor que cometer qualquer das infrações discriminadas nos subitens anteriores fica</w:t>
      </w:r>
      <w:r>
        <w:rPr>
          <w:rFonts w:ascii="Verdana" w:hAnsi="Verdana"/>
          <w:iCs/>
          <w:sz w:val="20"/>
          <w:szCs w:val="20"/>
        </w:rPr>
        <w:t>rá sujeito, sem prejuízo da responsabilidade civil e criminal, às seguintes sanções: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 xml:space="preserve">         </w:t>
      </w:r>
      <w:r>
        <w:rPr>
          <w:rFonts w:ascii="Verdana" w:hAnsi="Verdana"/>
          <w:iCs/>
          <w:sz w:val="20"/>
          <w:szCs w:val="20"/>
        </w:rPr>
        <w:t>a) Advertência pela falta do subitem 11.1.1 deste Termo de Referência, quando não se justificar a imposição de penalidade mais grave.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 xml:space="preserve">            </w:t>
      </w:r>
      <w:r>
        <w:rPr>
          <w:rFonts w:ascii="Verdana" w:hAnsi="Verdana"/>
          <w:iCs/>
          <w:sz w:val="20"/>
          <w:szCs w:val="20"/>
        </w:rPr>
        <w:t xml:space="preserve">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>
        <w:rPr>
          <w:rFonts w:eastAsia="Times New Roman" w:cs="Times New Roman" w:ascii="Verdana" w:hAnsi="Verdana"/>
          <w:iCs/>
          <w:color w:val="000000"/>
          <w:sz w:val="20"/>
          <w:szCs w:val="20"/>
        </w:rPr>
        <w:t>11</w:t>
      </w:r>
      <w:r>
        <w:rPr>
          <w:rFonts w:ascii="Verdana" w:hAnsi="Verdana"/>
          <w:iCs/>
          <w:sz w:val="20"/>
          <w:szCs w:val="20"/>
        </w:rPr>
        <w:t xml:space="preserve">.1.7 e 20% (vinte por cento), se cometidas infrações previstas nos itens 11.1.8 a 11.1.12; 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ab/>
        <w:tab/>
        <w:t>b.1) O valor da multa poderá ser descontado das faturas devidas à CONTRATADA;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ab/>
        <w:tab/>
        <w:t xml:space="preserve">b.2) A multa pode ser aplicada isoladamente ou juntamente com as penalidades definidas nos itens “c” e “d” abaixo: 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 xml:space="preserve">        </w:t>
      </w:r>
      <w:r>
        <w:rPr>
          <w:rFonts w:ascii="Verdana" w:hAnsi="Verdana"/>
          <w:iCs/>
          <w:sz w:val="20"/>
          <w:szCs w:val="20"/>
        </w:rPr>
        <w:tab/>
        <w:t xml:space="preserve"> c)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ab/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.3. Na aplicação das sanções serão considerados: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.3.1. A natureza e a gravidade da infração cometida.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11.3.2. As peculiaridades do caso concreto.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11.3.3. As circunstâncias agravantes ou atenuantes.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11.3.4. Os danos que dela provierem para a Administração Pública.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.3.5. A implantação ou o aperfeiçoamento de programa de integridade, conforme normas e orientações dos órgãos de controle.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  <w:lang w:eastAsia="en-US"/>
        </w:rPr>
        <w:t xml:space="preserve">11.5. </w:t>
      </w:r>
      <w:r>
        <w:rPr>
          <w:rFonts w:ascii="Verdana" w:hAnsi="Verdana"/>
          <w:iCs/>
          <w:sz w:val="20"/>
          <w:szCs w:val="20"/>
          <w:lang w:eastAsia="en-US"/>
        </w:rPr>
        <w:t>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lang w:eastAsia="en-US"/>
        </w:rPr>
        <w:t>12. DA HABILITAÇÃO</w:t>
      </w:r>
    </w:p>
    <w:p>
      <w:pPr>
        <w:pStyle w:val="Nivel011"/>
        <w:tabs>
          <w:tab w:val="left" w:pos="517" w:leader="none"/>
          <w:tab w:val="left" w:pos="567" w:leader="none"/>
          <w:tab w:val="left" w:pos="683" w:leader="none"/>
        </w:tabs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a) SICAF;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/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b) Cadastro Nacional de Empresas Inidôneas e Suspensas – CEIS, mantido pela Controladoria-Geral da União (</w:t>
      </w:r>
      <w:hyperlink r:id="rId3">
        <w:r>
          <w:rPr>
            <w:rStyle w:val="ListLabel57"/>
            <w:rFonts w:cs="Verdana" w:ascii="Verdana" w:hAnsi="Verdana"/>
            <w:b w:val="false"/>
            <w:bCs w:val="false"/>
            <w:color w:val="000080"/>
            <w:sz w:val="20"/>
            <w:szCs w:val="20"/>
            <w:u w:val="single"/>
            <w:lang w:eastAsia="ar-SA"/>
          </w:rPr>
          <w:t>www.portaldatransparencia.gov.br/ceis</w:t>
        </w:r>
      </w:hyperlink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);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/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4">
        <w:r>
          <w:rPr>
            <w:rStyle w:val="ListLabel57"/>
            <w:rFonts w:cs="Verdana" w:ascii="Verdana" w:hAnsi="Verdana"/>
            <w:b w:val="false"/>
            <w:bCs w:val="false"/>
            <w:color w:val="000080"/>
            <w:sz w:val="20"/>
            <w:szCs w:val="20"/>
            <w:u w:val="single"/>
            <w:lang w:eastAsia="ar-SA"/>
          </w:rPr>
          <w:t>www.cnj.jus.br/improbidade_adm/consultar_requerido.php</w:t>
        </w:r>
      </w:hyperlink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).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e) Cadastro de empresas inid</w:t>
      </w:r>
      <w:r>
        <w:rPr>
          <w:rFonts w:cs="Verdana" w:ascii="Verdana" w:hAnsi="Verdana"/>
          <w:b w:val="false"/>
          <w:bCs w:val="false"/>
          <w:sz w:val="20"/>
          <w:szCs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5">
        <w:r>
          <w:rPr>
            <w:rStyle w:val="ListLabel58"/>
            <w:rFonts w:cs="Verdana" w:ascii="Verdana" w:hAnsi="Verdana"/>
            <w:b w:val="false"/>
            <w:bCs w:val="false"/>
            <w:color w:val="000080"/>
            <w:sz w:val="20"/>
            <w:szCs w:val="20"/>
            <w:u w:val="single"/>
          </w:rPr>
          <w:t>https://www.tcees.tc.br/portal-da-transparencia/consultas/lista-de</w:t>
        </w:r>
      </w:hyperlink>
      <w:r>
        <w:rPr>
          <w:rFonts w:cs="Verdana" w:ascii="Verdana" w:hAnsi="Verdana"/>
          <w:b w:val="false"/>
          <w:bCs w:val="false"/>
          <w:sz w:val="20"/>
          <w:szCs w:val="20"/>
        </w:rPr>
        <w:t xml:space="preserve"> responsáveis/proibidos-de-contratar/).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 xml:space="preserve">12.1.1. </w:t>
      </w:r>
      <w:r>
        <w:rPr>
          <w:rFonts w:cs="Verdana" w:ascii="Verdana" w:hAnsi="Verdana"/>
          <w:sz w:val="20"/>
          <w:szCs w:val="20"/>
          <w:lang w:eastAsia="ar-SA"/>
        </w:rPr>
        <w:t>Para a consulta de licitantes pessoa jurídica poderá haver a substituição das consultas das alíneas “b”, “c” e “d” acima pela Consulta Consolidada de Pessoa Jurídica do TCU (</w:t>
      </w:r>
      <w:hyperlink r:id="rId6">
        <w:r>
          <w:rPr>
            <w:rStyle w:val="ListLabel59"/>
            <w:rFonts w:cs="Verdana" w:ascii="Verdana" w:hAnsi="Verdana"/>
            <w:color w:val="000080"/>
            <w:sz w:val="20"/>
            <w:szCs w:val="20"/>
            <w:u w:val="single"/>
            <w:lang w:eastAsia="ar-SA"/>
          </w:rPr>
          <w:t>https://certidoesapf.apps.tcu.gov.br/</w:t>
        </w:r>
      </w:hyperlink>
      <w:r>
        <w:rPr>
          <w:rFonts w:cs="Verdana" w:ascii="Verdana" w:hAnsi="Verdana"/>
          <w:sz w:val="20"/>
          <w:szCs w:val="20"/>
          <w:lang w:eastAsia="ar-SA"/>
        </w:rPr>
        <w:t>);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12.1.2.1</w:t>
      </w:r>
      <w:r>
        <w:rPr>
          <w:rFonts w:cs="Verdana" w:ascii="Verdana" w:hAnsi="Verdana"/>
          <w:b/>
          <w:bCs/>
          <w:color w:val="000000"/>
          <w:sz w:val="20"/>
          <w:szCs w:val="20"/>
        </w:rPr>
        <w:t>.</w:t>
      </w:r>
      <w:r>
        <w:rPr>
          <w:rFonts w:cs="Verdana" w:ascii="Verdana" w:hAnsi="Verdana"/>
          <w:bCs/>
          <w:color w:val="000000"/>
          <w:sz w:val="20"/>
          <w:szCs w:val="20"/>
        </w:rPr>
        <w:t xml:space="preserve">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12.1.2.3. O licitante será convocado para manifestação previamente à sua desclassificação.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12.1.3 .Constatada a existência de sanção, o Pregoeiro reputará o licitante inabilitado, por falta de condição de participação.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>
      <w:pPr>
        <w:pStyle w:val="ListParagraph"/>
        <w:tabs>
          <w:tab w:val="clear" w:pos="708"/>
          <w:tab w:val="left" w:pos="567" w:leader="none"/>
        </w:tabs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 xml:space="preserve">12.2. </w:t>
      </w: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 xml:space="preserve">Caso atendidas as condições de participação, </w:t>
      </w:r>
      <w:r>
        <w:rPr>
          <w:rFonts w:cs="Verdana" w:ascii="Verdana" w:hAnsi="Verdana"/>
          <w:b w:val="false"/>
          <w:bCs w:val="false"/>
          <w:sz w:val="20"/>
          <w:szCs w:val="20"/>
        </w:rPr>
        <w:t>a habilitação dos licitantes será verificada por meio do SICAF, nos documentos por ele abrangidos</w:t>
      </w: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12.2.1.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12.2.3. O descumprimento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12.3. Ha</w:t>
      </w:r>
      <w:r>
        <w:rPr>
          <w:rFonts w:cs="Verdana" w:ascii="Verdana" w:hAnsi="Verdana"/>
          <w:color w:val="000000"/>
          <w:sz w:val="20"/>
          <w:szCs w:val="20"/>
        </w:rPr>
        <w:t>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12.4 Somente haverá a necessidade de comprovação do preenchimento de requisitos mediante apresentação dos documentos originais não-digitais quando houver dúvida em relação à integridade do documento digital.</w:t>
      </w:r>
    </w:p>
    <w:p>
      <w:pPr>
        <w:pStyle w:val="PADRO"/>
        <w:widowControl/>
        <w:shd w:fill="FFFFFF"/>
        <w:tabs>
          <w:tab w:val="clear" w:pos="708"/>
          <w:tab w:val="left" w:pos="567" w:leader="none"/>
        </w:tabs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12.5 Não serão aceitos documentos de habilitação com indicação de CNPJ/CPF diferentes, salvo aqueles legalmente permitidos.</w:t>
      </w:r>
    </w:p>
    <w:p>
      <w:pPr>
        <w:pStyle w:val="PADRO"/>
        <w:widowControl/>
        <w:shd w:fill="FFFFFF"/>
        <w:tabs>
          <w:tab w:val="clear" w:pos="708"/>
          <w:tab w:val="left" w:pos="567" w:leader="none"/>
        </w:tabs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12.6 Serão aceitos registros de CNPJ de licitante matriz e filial com diferenças de números de documentos pertinentes ao CND e ao CRF/FGTS, quando for comprovada a centralização do recolhimento dessas contribuições.</w:t>
      </w:r>
    </w:p>
    <w:p>
      <w:pPr>
        <w:pStyle w:val="PADRO"/>
        <w:widowControl/>
        <w:shd w:fill="FFFFFF"/>
        <w:tabs>
          <w:tab w:val="clear" w:pos="708"/>
          <w:tab w:val="left" w:pos="567" w:leader="none"/>
        </w:tabs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12.7 Ress</w:t>
      </w:r>
      <w:r>
        <w:rPr>
          <w:rFonts w:cs="Verdana" w:ascii="Verdana" w:hAnsi="Verdana"/>
          <w:sz w:val="20"/>
          <w:szCs w:val="20"/>
        </w:rPr>
        <w:t>alvado o disposto no item 5.3, os licitantes deverão encaminhar, nos termos deste Edital, a documentação relacionada nos itens a seguir, para fins de habilitação: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/>
          <w:bCs/>
          <w:color w:val="000000"/>
          <w:sz w:val="20"/>
          <w:szCs w:val="20"/>
        </w:rPr>
        <w:t>12.8 Habilitação jurídica: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12.8.1 No caso de empresário individual: inscrição no Registro Público de Empresas Mercantis, a cargo da Junta Comercial da respectiva sede.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/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 xml:space="preserve">12.8.2 Em se tratando de microempreendedor individual – MEI: Certificado da Condição de Microempreendedor Individual – CCMEI, cuja aceitação ficará condicionada à verificação da autenticidade no sítio </w:t>
      </w:r>
      <w:hyperlink r:id="rId7">
        <w:r>
          <w:rPr>
            <w:rStyle w:val="ListLabel60"/>
            <w:rFonts w:cs="Verdana" w:ascii="Verdana" w:hAnsi="Verdana"/>
            <w:b w:val="false"/>
            <w:bCs w:val="false"/>
            <w:color w:val="000000"/>
            <w:sz w:val="20"/>
            <w:szCs w:val="20"/>
            <w:u w:val="single"/>
          </w:rPr>
          <w:t>www.portaldoempreendedor.gov.br</w:t>
        </w:r>
      </w:hyperlink>
      <w:r>
        <w:rPr>
          <w:rFonts w:cs="Verdana" w:ascii="Verdana" w:hAnsi="Verdana"/>
          <w:b w:val="false"/>
          <w:bCs w:val="false"/>
          <w:color w:val="000000"/>
          <w:sz w:val="20"/>
          <w:szCs w:val="20"/>
          <w:u w:val="single"/>
        </w:rPr>
        <w:t>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12.8.3 No caso de sociedade empresária ou empresa individual de responsabilidade limitada – EIRELI: ato constitutivo, estatuto ou contrato social em vigor, devidamente registrado na Junta Comercial da respectiva sede, acompanhado de documento comprobatório de seus administradores.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12.8.4 Inscrição no Registro Público de Empresas Mercantis onde opera, com averbação no Registro onde tem sede a matriz, no caso de ser o participante sucursal, filial ou agência.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12.8.5 No caso de sociedade simples: inscrição do ato constitutivo no Registro Civil das Pessoas Jurídicas do local de sua sede, acompanhada de prova da indicação dos seus administradores.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12.8.6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12.8.7 No</w:t>
      </w:r>
      <w:r>
        <w:rPr>
          <w:rFonts w:cs="Verdana" w:ascii="Verdana" w:hAnsi="Verdana"/>
          <w:bCs/>
          <w:color w:val="000000"/>
          <w:sz w:val="20"/>
          <w:szCs w:val="20"/>
        </w:rPr>
        <w:t xml:space="preserve"> caso de empresa ou sociedade estrangeira em funcionamento no País: decreto de autorização.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12.8.8 Os documentos acima deverão estar acompanhados de todas as alterações ou da con</w:t>
      </w:r>
      <w:r>
        <w:rPr>
          <w:rFonts w:cs="Verdana" w:ascii="Verdana" w:hAnsi="Verdana"/>
          <w:bCs/>
          <w:color w:val="000000"/>
          <w:sz w:val="20"/>
          <w:szCs w:val="20"/>
        </w:rPr>
        <w:t>solidação respectiva.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/>
          <w:bCs/>
          <w:color w:val="000000"/>
          <w:sz w:val="20"/>
          <w:szCs w:val="20"/>
        </w:rPr>
        <w:t xml:space="preserve">12.9 Regularidade fiscal </w:t>
      </w:r>
      <w:r>
        <w:rPr>
          <w:rFonts w:cs="Verdana" w:ascii="Verdana" w:hAnsi="Verdana"/>
          <w:b/>
          <w:bCs/>
          <w:sz w:val="20"/>
          <w:szCs w:val="20"/>
        </w:rPr>
        <w:t>e trabalhista</w:t>
      </w:r>
      <w:r>
        <w:rPr>
          <w:rFonts w:cs="Verdana" w:ascii="Verdana" w:hAnsi="Verdana"/>
          <w:b/>
          <w:bCs/>
          <w:color w:val="0000FF"/>
          <w:sz w:val="20"/>
          <w:szCs w:val="20"/>
        </w:rPr>
        <w:t>: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en-US"/>
        </w:rPr>
        <w:t>12.9.1 Prova de inscrição no Cadastro Nacional de Pessoas Jurídicas ou no Cadastro de Pessoas Físicas, conforme o caso.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en-US"/>
        </w:rPr>
        <w:t>12.9.2 Certidão de regularidade junto à fazenda pública Municipal, do domicílio do Licitante.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12.9.3 Certidão de regularidade junto à fazenda pública Estadual, do domicílio do Licitante.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12.9.4 Certidão conjunta de regularidade junto à fazenda pública Federal, (Quitação de tributos e contribuições Federais e Quanto à dívida ativa da União) e junto ao INSS, conforme Portaria MF nº 358 de 05/09/2014.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12.9.5 Certidão de regularidade junto ao FGTS;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en-US"/>
        </w:rPr>
        <w:t>12.9.6 Certidão Negativa De Débitos Trabalhistas (CNDT) de acordo com a Lei 12440 de 7 de julho de 2011.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  <w:lang w:eastAsia="en-US" w:bidi="pt-BR"/>
        </w:rPr>
        <w:t xml:space="preserve">12.9.7 Caso o vencedor do menor preço seja qualificado como microempresa ou empresa de pequeno porte </w:t>
      </w:r>
      <w:r>
        <w:rPr>
          <w:rFonts w:cs="Verdana" w:ascii="Verdana" w:hAnsi="Verdana"/>
          <w:b w:val="false"/>
          <w:bCs w:val="false"/>
          <w:color w:val="000000"/>
          <w:sz w:val="20"/>
          <w:szCs w:val="20"/>
          <w:lang w:eastAsia="en-US"/>
        </w:rPr>
        <w:t>deverá apresentar toda a documentação exigida para efeito de</w:t>
      </w:r>
      <w:r>
        <w:rPr>
          <w:rFonts w:cs="Verdana" w:ascii="Verdana" w:hAnsi="Verdana"/>
          <w:color w:val="000000"/>
          <w:sz w:val="20"/>
          <w:szCs w:val="20"/>
          <w:lang w:eastAsia="en-US"/>
        </w:rPr>
        <w:t xml:space="preserve"> comprovação de regularidade fiscal, mesmo que esta apresente alguma restrição, sob pena de inabilitação.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/>
          <w:color w:val="000000"/>
          <w:sz w:val="20"/>
          <w:szCs w:val="20"/>
        </w:rPr>
        <w:tab/>
        <w:t>12.10 Qualificação Econômico-Financeira</w:t>
      </w:r>
      <w:r>
        <w:rPr>
          <w:rFonts w:cs="Verdana" w:ascii="Verdana" w:hAnsi="Verdana"/>
          <w:color w:val="000000"/>
          <w:sz w:val="20"/>
          <w:szCs w:val="20"/>
        </w:rPr>
        <w:t>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12.10.1 Certidão negativa de falência, recuperação judicial e extrajudicial, expedida pelo cartório distribuidor da sede da Licitante ou por meio digital, emitida em até 30 (trinta) dias anteriores à data de abertura da Licitação;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12.10.2 Havendo algum prazo de validade estabelecido por cartório na certidão citada na letra anterior, será considerado o prazo constante da certidão para comprovação da sua validade.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12.10.3 Para a contagem do prazo estabelecido na letra “a” deste capítulo, será contado a partir do primeiro dia que antecede a data da realização desta licitação.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  <w:lang w:eastAsia="en-US"/>
        </w:rPr>
        <w:t xml:space="preserve">12.10.4 </w:t>
      </w:r>
      <w:r>
        <w:rPr>
          <w:rFonts w:cs="Verdana" w:ascii="Verdana" w:hAnsi="Verdana"/>
          <w:color w:val="000000"/>
          <w:sz w:val="20"/>
          <w:szCs w:val="20"/>
          <w:lang w:eastAsia="en-US"/>
        </w:rPr>
        <w:t>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13. CONTRATAÇÕES CORRELATAS E/OU INTERDEPENDENTES</w:t>
      </w:r>
    </w:p>
    <w:p>
      <w:pPr>
        <w:pStyle w:val="Normal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13.1.</w:t>
      </w:r>
      <w:r>
        <w:rPr>
          <w:rFonts w:ascii="Verdana" w:hAnsi="Verdana"/>
          <w:sz w:val="20"/>
          <w:szCs w:val="20"/>
        </w:rPr>
        <w:t xml:space="preserve"> Não se verifica contratações correlatas ou interdependentes.</w:t>
      </w:r>
    </w:p>
    <w:p>
      <w:pPr>
        <w:pStyle w:val="Normal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14. RESULTADOS PRETENDIDOS COM A AQUISIÇÃO</w:t>
      </w:r>
    </w:p>
    <w:p>
      <w:pPr>
        <w:pStyle w:val="Normal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14.1 Com </w:t>
      </w:r>
      <w:r>
        <w:rPr>
          <w:rFonts w:ascii="Verdana" w:hAnsi="Verdana"/>
          <w:sz w:val="20"/>
          <w:szCs w:val="20"/>
        </w:rPr>
        <w:t>a aquisição, buscaremos atender as demandas escolares e da Secretaria Municipal de Educação, visando garantir um bom atendimento aos estudantes e subsidiando o ensino.</w:t>
      </w:r>
    </w:p>
    <w:p>
      <w:pPr>
        <w:pStyle w:val="Normal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</w:t>
      </w:r>
      <w:r>
        <w:rPr>
          <w:rFonts w:ascii="Verdana" w:hAnsi="Verdana"/>
          <w:b/>
          <w:bCs/>
          <w:sz w:val="20"/>
          <w:szCs w:val="20"/>
        </w:rPr>
        <w:t>5. PROVIDÊNCIAS A SEREM ADOTADAS</w:t>
      </w:r>
    </w:p>
    <w:p>
      <w:pPr>
        <w:pStyle w:val="Normal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15.2. A Secret</w:t>
      </w:r>
      <w:r>
        <w:rPr>
          <w:rFonts w:ascii="Verdana" w:hAnsi="Verdana"/>
          <w:sz w:val="20"/>
          <w:szCs w:val="20"/>
        </w:rPr>
        <w:t xml:space="preserve">aria Municipal de Educação deverá acompanhar, fiscalizar, comprovar e relatar, por escrito, as eventuais irregularidades na entrega dos equipamentos. </w:t>
      </w:r>
    </w:p>
    <w:p>
      <w:pPr>
        <w:pStyle w:val="Normal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16. POSSÍVEIS IMPACTOS AMBIENTAIS</w:t>
      </w:r>
    </w:p>
    <w:p>
      <w:pPr>
        <w:pStyle w:val="Normal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16.1 Não</w:t>
      </w:r>
      <w:r>
        <w:rPr>
          <w:rFonts w:ascii="Verdana" w:hAnsi="Verdana"/>
          <w:sz w:val="20"/>
          <w:szCs w:val="20"/>
        </w:rPr>
        <w:t xml:space="preserve"> haverá danos ao meio ambiente</w:t>
      </w:r>
      <w:r>
        <w:rPr>
          <w:rFonts w:ascii="Verdana" w:hAnsi="Verdana"/>
          <w:b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</w:p>
    <w:p>
      <w:pPr>
        <w:pStyle w:val="Normal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17. DECLARAÇÕES DE VIABILIDADE</w:t>
      </w:r>
    </w:p>
    <w:p>
      <w:pPr>
        <w:pStyle w:val="Normal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17.1 A </w:t>
      </w:r>
      <w:r>
        <w:rPr>
          <w:rFonts w:ascii="Verdana" w:hAnsi="Verdana"/>
          <w:sz w:val="20"/>
          <w:szCs w:val="20"/>
        </w:rPr>
        <w:t xml:space="preserve">equipe de planejamento deste ETP e de acordo com a autoridade deste requerente, declara viável esta licitação. </w:t>
      </w:r>
    </w:p>
    <w:p>
      <w:pPr>
        <w:pStyle w:val="Normal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18. JUSTIFICATIVAS DA VIABILIDADE</w:t>
      </w:r>
    </w:p>
    <w:p>
      <w:pPr>
        <w:pStyle w:val="Normal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18.1 Considerando que existe a necessidade de manter um bom atendimento aos alunos e subsidiar a educação do município, proporcionando atendimento nas neces</w:t>
      </w:r>
      <w:r>
        <w:rPr>
          <w:rFonts w:ascii="Verdana" w:hAnsi="Verdana"/>
          <w:sz w:val="20"/>
          <w:szCs w:val="20"/>
        </w:rPr>
        <w:t>sidades básicas e oferecer também qualidade ao ensino.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/>
          <w:bCs/>
          <w:sz w:val="20"/>
          <w:szCs w:val="20"/>
        </w:rPr>
        <w:t xml:space="preserve">19.  ADEQUAÇÃO ORÇAMENTÁRIA 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19.1.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As despesas decorrentes da presente </w:t>
      </w:r>
      <w:r>
        <w:rPr>
          <w:rFonts w:eastAsia="Times New Roman" w:cs="Times New Roman" w:ascii="Verdana" w:hAnsi="Verdana"/>
          <w:sz w:val="20"/>
          <w:szCs w:val="20"/>
        </w:rPr>
        <w:t>aquisição</w:t>
      </w:r>
      <w:r>
        <w:rPr>
          <w:rFonts w:ascii="Verdana" w:hAnsi="Verdana"/>
          <w:sz w:val="20"/>
          <w:szCs w:val="20"/>
        </w:rPr>
        <w:t xml:space="preserve"> correrão à conta de recursos específicos consignados no Lei Orçamentária Anual, bem como requisição do sistema presente nos autos, sendo a </w:t>
      </w:r>
      <w:r>
        <w:rPr>
          <w:rFonts w:eastAsia="Times New Roman" w:cs="Times New Roman" w:ascii="Verdana" w:hAnsi="Verdana"/>
          <w:sz w:val="20"/>
          <w:szCs w:val="20"/>
        </w:rPr>
        <w:t>aquisição</w:t>
      </w:r>
      <w:r>
        <w:rPr>
          <w:rFonts w:ascii="Verdana" w:hAnsi="Verdana"/>
          <w:sz w:val="20"/>
          <w:szCs w:val="20"/>
        </w:rPr>
        <w:t xml:space="preserve"> será atendida pelas seguintes dotações: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FICHA – FONTE: 00620</w:t>
      </w:r>
      <w:r>
        <w:rPr>
          <w:rFonts w:eastAsia="Times New Roman" w:cs="Arial" w:ascii="Verdana" w:hAnsi="Verdana"/>
          <w:sz w:val="20"/>
          <w:szCs w:val="20"/>
        </w:rPr>
        <w:t>-</w:t>
      </w:r>
      <w:r>
        <w:rPr>
          <w:rFonts w:cs="Arial" w:ascii="Verdana" w:hAnsi="Verdana"/>
          <w:sz w:val="20"/>
          <w:szCs w:val="20"/>
        </w:rPr>
        <w:t>1</w:t>
      </w:r>
      <w:r>
        <w:rPr>
          <w:rFonts w:eastAsia="Times New Roman" w:cs="Arial" w:ascii="Verdana" w:hAnsi="Verdana"/>
          <w:sz w:val="20"/>
          <w:szCs w:val="20"/>
        </w:rPr>
        <w:t>54300000000 no valor estimado de</w:t>
      </w:r>
      <w:r>
        <w:rPr>
          <w:rFonts w:eastAsia="Times New Roman" w:cs="Arial" w:ascii="Verdana" w:hAnsi="Verdana"/>
          <w:sz w:val="20"/>
          <w:szCs w:val="20"/>
          <w:u w:val="none"/>
        </w:rPr>
        <w:t xml:space="preserve">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  <w:lang w:eastAsia="zh-CN"/>
        </w:rPr>
        <w:t xml:space="preserve"> R$ 1.962.361,60 (um milhão novecentos e sessenta e dois mil trezentos e sessenta e um reais e sessenta centavos).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  <w:u w:val="none"/>
        </w:rPr>
        <w:t>20. DOS RESPONSÁVEIS PELA ELABORAÇÃO DO TERMO DE REFERÊNCI</w:t>
      </w:r>
      <w:r>
        <w:rPr>
          <w:rFonts w:cs="Arial" w:ascii="Verdana" w:hAnsi="Verdana"/>
          <w:b/>
          <w:bCs/>
          <w:color w:val="000000"/>
          <w:sz w:val="20"/>
          <w:szCs w:val="20"/>
        </w:rPr>
        <w:t>A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21.1. A compilação d</w:t>
      </w: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</w:rPr>
        <w:t>e parte das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 xml:space="preserve"> informações mencionados </w:t>
      </w: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</w:rPr>
        <w:t>na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 xml:space="preserve"> elaboração deste Termo de Referência foram estruturadas através do ETP – Estudo Técnico Preliminar elaborado pela secretaria requisitante.</w:t>
      </w:r>
    </w:p>
    <w:p>
      <w:pPr>
        <w:pStyle w:val="Normal"/>
        <w:spacing w:lineRule="auto" w:line="276" w:before="57" w:after="57"/>
        <w:ind w:hanging="0" w:left="0" w:right="0"/>
        <w:jc w:val="right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 w:before="57" w:after="57"/>
        <w:ind w:hanging="0" w:left="0" w:right="0"/>
        <w:jc w:val="right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 w:before="57" w:after="57"/>
        <w:ind w:hanging="0" w:left="0" w:right="0"/>
        <w:jc w:val="right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 w:before="57" w:after="57"/>
        <w:ind w:hanging="0" w:left="0" w:right="0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São Gabriel da Palha, 16 de setembro de 2024</w:t>
      </w:r>
    </w:p>
    <w:p>
      <w:pPr>
        <w:pStyle w:val="Normal"/>
        <w:spacing w:lineRule="auto" w:line="276" w:before="57" w:after="57"/>
        <w:ind w:hanging="0" w:left="0" w:right="0"/>
        <w:jc w:val="right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Elaborado por: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bookmarkEnd w:id="0"/>
      <w:bookmarkEnd w:id="1"/>
      <w:bookmarkEnd w:id="2"/>
      <w:bookmarkEnd w:id="3"/>
      <w:bookmarkEnd w:id="4"/>
      <w:bookmarkEnd w:id="5"/>
      <w:bookmarkEnd w:id="6"/>
      <w:r>
        <w:rPr>
          <w:rFonts w:ascii="Verdana" w:hAnsi="Verdana"/>
          <w:sz w:val="20"/>
          <w:szCs w:val="20"/>
        </w:rPr>
        <w:t>RODOLFO ANTÔNIO DA SILVA NETO</w:t>
      </w:r>
    </w:p>
    <w:p>
      <w:pPr>
        <w:pStyle w:val="Normal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Auxiliar Administrativo</w:t>
      </w:r>
    </w:p>
    <w:p>
      <w:pPr>
        <w:pStyle w:val="Normal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Mat nº 000406</w:t>
      </w:r>
    </w:p>
    <w:p>
      <w:pPr>
        <w:pStyle w:val="Normal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RUTH BARBARA DA SILWA NASCIMENTO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Assistente Administrativo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bookmarkStart w:id="7" w:name="art116"/>
      <w:r>
        <w:rPr>
          <w:rFonts w:cs="Arial" w:ascii="Verdana" w:hAnsi="Verdana"/>
          <w:sz w:val="20"/>
          <w:szCs w:val="20"/>
        </w:rPr>
        <w:t xml:space="preserve"> </w:t>
      </w:r>
      <w:r>
        <w:rPr>
          <w:rFonts w:cs="Arial" w:ascii="Verdana" w:hAnsi="Verdana"/>
          <w:sz w:val="20"/>
          <w:szCs w:val="20"/>
        </w:rPr>
        <w:t>Mat. nº</w:t>
      </w:r>
      <w:bookmarkEnd w:id="7"/>
      <w:r>
        <w:rPr>
          <w:rFonts w:cs="Arial" w:ascii="Verdana" w:hAnsi="Verdana"/>
          <w:sz w:val="20"/>
          <w:szCs w:val="20"/>
        </w:rPr>
        <w:t xml:space="preserve"> 002983</w:t>
      </w:r>
    </w:p>
    <w:sectPr>
      <w:headerReference w:type="even" r:id="rId8"/>
      <w:headerReference w:type="default" r:id="rId9"/>
      <w:headerReference w:type="first" r:id="rId10"/>
      <w:footerReference w:type="even" r:id="rId11"/>
      <w:footerReference w:type="default" r:id="rId12"/>
      <w:footerReference w:type="first" r:id="rId13"/>
      <w:type w:val="nextPage"/>
      <w:pgSz w:w="11906" w:h="16838"/>
      <w:pgMar w:left="1550" w:right="905" w:gutter="0" w:header="227" w:top="851" w:footer="567" w:bottom="851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Ecofont_Spranq_eco_Sans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Verdana">
    <w:charset w:val="01"/>
    <w:family w:val="swiss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  <w:font w:name="Arial MT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</w:pBdr>
      <w:tabs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rStyle w:val="PageNumber"/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 xml:space="preserve">Praça Vicente Glazar, 159 | São Gabriel da Palha-ES | CEP 29780 000  </w:t>
    </w:r>
  </w:p>
  <w:p>
    <w:pPr>
      <w:pStyle w:val="Footer"/>
      <w:pBdr>
        <w:top w:val="single" w:sz="4" w:space="1" w:color="000000"/>
      </w:pBdr>
      <w:jc w:val="center"/>
      <w:rPr>
        <w:rStyle w:val="PageNumber"/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>Fone/Fax (027) 3727-1366 | E-mail: compras@saogabriel.es.gov.br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</w:pBdr>
      <w:tabs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rStyle w:val="PageNumber"/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 xml:space="preserve">Praça Vicente Glazar, 159 | São Gabriel da Palha-ES | CEP 29780 000  </w:t>
    </w:r>
  </w:p>
  <w:p>
    <w:pPr>
      <w:pStyle w:val="Footer"/>
      <w:pBdr>
        <w:top w:val="single" w:sz="4" w:space="1" w:color="000000"/>
      </w:pBdr>
      <w:jc w:val="center"/>
      <w:rPr>
        <w:rStyle w:val="PageNumber"/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>Fone/Fax (027) 3727-1366 | E-mail: compras@saogabriel.es.gov.br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</w:r>
  </w:p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  <w:drawing>
        <wp:anchor behindDoc="1" distT="0" distB="0" distL="114300" distR="114300" simplePos="0" locked="0" layoutInCell="0" allowOverlap="1" relativeHeight="16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Calibri" w:hAnsi="Calibri"/>
        <w:sz w:val="16"/>
        <w:szCs w:val="16"/>
      </w:rPr>
      <w:br/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Arial Narrow" w:hAnsi="Arial Narrow"/>
        <w:b/>
        <w:sz w:val="20"/>
      </w:rPr>
      <w:br/>
      <w:t>Departamento De Compras e Contratos</w:t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Arial Narrow" w:hAnsi="Arial Narrow"/>
        <w:b/>
        <w:sz w:val="2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</w:r>
  </w:p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  <w:drawing>
        <wp:anchor behindDoc="1" distT="0" distB="0" distL="114300" distR="114300" simplePos="0" locked="0" layoutInCell="0" allowOverlap="1" relativeHeight="16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2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Calibri" w:hAnsi="Calibri"/>
        <w:sz w:val="16"/>
        <w:szCs w:val="16"/>
      </w:rPr>
      <w:br/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Arial Narrow" w:hAnsi="Arial Narrow"/>
        <w:b/>
        <w:sz w:val="20"/>
      </w:rPr>
      <w:br/>
      <w:t>Departamento De Compras e Contratos</w:t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Arial Narrow" w:hAnsi="Arial Narrow"/>
        <w:b/>
        <w:sz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-"/>
      <w:lvlJc w:val="left"/>
      <w:pPr>
        <w:tabs>
          <w:tab w:val="num" w:pos="0"/>
        </w:tabs>
        <w:ind w:left="30" w:hanging="98"/>
      </w:pPr>
      <w:rPr>
        <w:rFonts w:ascii="Arial MT" w:hAnsi="Arial MT" w:cs="Arial MT" w:hint="default"/>
        <w:sz w:val="16"/>
        <w:spacing w:val="0"/>
        <w:i w:val="false"/>
        <w:b w:val="false"/>
        <w:szCs w:val="16"/>
        <w:iCs w:val="false"/>
        <w:bCs w:val="false"/>
        <w:w w:val="100"/>
        <w:lang w:val="pt-P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380" w:hanging="98"/>
      </w:pPr>
      <w:rPr>
        <w:rFonts w:ascii="Symbol" w:hAnsi="Symbol" w:cs="Symbol" w:hint="default"/>
        <w:lang w:val="pt-P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720" w:hanging="98"/>
      </w:pPr>
      <w:rPr>
        <w:rFonts w:ascii="Symbol" w:hAnsi="Symbol" w:cs="Symbol" w:hint="default"/>
        <w:lang w:val="pt-P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060" w:hanging="98"/>
      </w:pPr>
      <w:rPr>
        <w:rFonts w:ascii="Symbol" w:hAnsi="Symbol" w:cs="Symbol" w:hint="default"/>
        <w:lang w:val="pt-P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00" w:hanging="98"/>
      </w:pPr>
      <w:rPr>
        <w:rFonts w:ascii="Symbol" w:hAnsi="Symbol" w:cs="Symbol" w:hint="default"/>
        <w:lang w:val="pt-P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740" w:hanging="98"/>
      </w:pPr>
      <w:rPr>
        <w:rFonts w:ascii="Symbol" w:hAnsi="Symbol" w:cs="Symbol" w:hint="default"/>
        <w:lang w:val="pt-P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080" w:hanging="98"/>
      </w:pPr>
      <w:rPr>
        <w:rFonts w:ascii="Symbol" w:hAnsi="Symbol" w:cs="Symbol" w:hint="default"/>
        <w:lang w:val="pt-P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420" w:hanging="98"/>
      </w:pPr>
      <w:rPr>
        <w:rFonts w:ascii="Symbol" w:hAnsi="Symbol" w:cs="Symbol" w:hint="default"/>
        <w:lang w:val="pt-P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760" w:hanging="98"/>
      </w:pPr>
      <w:rPr>
        <w:rFonts w:ascii="Symbol" w:hAnsi="Symbol" w:cs="Symbol" w:hint="default"/>
        <w:lang w:val="pt-PT" w:eastAsia="en-US" w:bidi="ar-SA"/>
      </w:rPr>
    </w:lvl>
  </w:abstractNum>
  <w:abstractNum w:abstractNumId="2">
    <w:lvl w:ilvl="0">
      <w:numFmt w:val="bullet"/>
      <w:lvlText w:val="-"/>
      <w:lvlJc w:val="left"/>
      <w:pPr>
        <w:tabs>
          <w:tab w:val="num" w:pos="0"/>
        </w:tabs>
        <w:ind w:left="127" w:hanging="98"/>
      </w:pPr>
      <w:rPr>
        <w:rFonts w:ascii="Arial MT" w:hAnsi="Arial MT" w:cs="Arial MT" w:hint="default"/>
        <w:sz w:val="16"/>
        <w:spacing w:val="0"/>
        <w:i w:val="false"/>
        <w:b w:val="false"/>
        <w:szCs w:val="16"/>
        <w:iCs w:val="false"/>
        <w:bCs w:val="false"/>
        <w:w w:val="100"/>
        <w:lang w:val="pt-P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52" w:hanging="98"/>
      </w:pPr>
      <w:rPr>
        <w:rFonts w:ascii="Symbol" w:hAnsi="Symbol" w:cs="Symbol" w:hint="default"/>
        <w:lang w:val="pt-P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784" w:hanging="98"/>
      </w:pPr>
      <w:rPr>
        <w:rFonts w:ascii="Symbol" w:hAnsi="Symbol" w:cs="Symbol" w:hint="default"/>
        <w:lang w:val="pt-P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116" w:hanging="98"/>
      </w:pPr>
      <w:rPr>
        <w:rFonts w:ascii="Symbol" w:hAnsi="Symbol" w:cs="Symbol" w:hint="default"/>
        <w:lang w:val="pt-P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48" w:hanging="98"/>
      </w:pPr>
      <w:rPr>
        <w:rFonts w:ascii="Symbol" w:hAnsi="Symbol" w:cs="Symbol" w:hint="default"/>
        <w:lang w:val="pt-P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780" w:hanging="98"/>
      </w:pPr>
      <w:rPr>
        <w:rFonts w:ascii="Symbol" w:hAnsi="Symbol" w:cs="Symbol" w:hint="default"/>
        <w:lang w:val="pt-P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12" w:hanging="98"/>
      </w:pPr>
      <w:rPr>
        <w:rFonts w:ascii="Symbol" w:hAnsi="Symbol" w:cs="Symbol" w:hint="default"/>
        <w:lang w:val="pt-P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444" w:hanging="98"/>
      </w:pPr>
      <w:rPr>
        <w:rFonts w:ascii="Symbol" w:hAnsi="Symbol" w:cs="Symbol" w:hint="default"/>
        <w:lang w:val="pt-P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776" w:hanging="98"/>
      </w:pPr>
      <w:rPr>
        <w:rFonts w:ascii="Symbol" w:hAnsi="Symbol" w:cs="Symbol" w:hint="default"/>
        <w:lang w:val="pt-PT" w:eastAsia="en-US" w:bidi="ar-SA"/>
      </w:rPr>
    </w:lvl>
  </w:abstractNum>
  <w:abstractNum w:abstractNumId="3">
    <w:lvl w:ilvl="0">
      <w:numFmt w:val="bullet"/>
      <w:lvlText w:val="-"/>
      <w:lvlJc w:val="left"/>
      <w:pPr>
        <w:tabs>
          <w:tab w:val="num" w:pos="0"/>
        </w:tabs>
        <w:ind w:left="127" w:hanging="98"/>
      </w:pPr>
      <w:rPr>
        <w:rFonts w:ascii="Arial MT" w:hAnsi="Arial MT" w:cs="Arial MT" w:hint="default"/>
        <w:sz w:val="16"/>
        <w:spacing w:val="0"/>
        <w:i w:val="false"/>
        <w:b w:val="false"/>
        <w:szCs w:val="16"/>
        <w:iCs w:val="false"/>
        <w:bCs w:val="false"/>
        <w:w w:val="100"/>
        <w:lang w:val="pt-P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52" w:hanging="98"/>
      </w:pPr>
      <w:rPr>
        <w:rFonts w:ascii="Symbol" w:hAnsi="Symbol" w:cs="Symbol" w:hint="default"/>
        <w:lang w:val="pt-P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784" w:hanging="98"/>
      </w:pPr>
      <w:rPr>
        <w:rFonts w:ascii="Symbol" w:hAnsi="Symbol" w:cs="Symbol" w:hint="default"/>
        <w:lang w:val="pt-P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116" w:hanging="98"/>
      </w:pPr>
      <w:rPr>
        <w:rFonts w:ascii="Symbol" w:hAnsi="Symbol" w:cs="Symbol" w:hint="default"/>
        <w:lang w:val="pt-P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48" w:hanging="98"/>
      </w:pPr>
      <w:rPr>
        <w:rFonts w:ascii="Symbol" w:hAnsi="Symbol" w:cs="Symbol" w:hint="default"/>
        <w:lang w:val="pt-P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780" w:hanging="98"/>
      </w:pPr>
      <w:rPr>
        <w:rFonts w:ascii="Symbol" w:hAnsi="Symbol" w:cs="Symbol" w:hint="default"/>
        <w:lang w:val="pt-P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12" w:hanging="98"/>
      </w:pPr>
      <w:rPr>
        <w:rFonts w:ascii="Symbol" w:hAnsi="Symbol" w:cs="Symbol" w:hint="default"/>
        <w:lang w:val="pt-P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444" w:hanging="98"/>
      </w:pPr>
      <w:rPr>
        <w:rFonts w:ascii="Symbol" w:hAnsi="Symbol" w:cs="Symbol" w:hint="default"/>
        <w:lang w:val="pt-P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776" w:hanging="98"/>
      </w:pPr>
      <w:rPr>
        <w:rFonts w:ascii="Symbol" w:hAnsi="Symbol" w:cs="Symbol" w:hint="default"/>
        <w:lang w:val="pt-PT" w:eastAsia="en-US" w:bidi="ar-SA"/>
      </w:rPr>
    </w:lvl>
  </w:abstractNum>
  <w:abstractNum w:abstractNumId="4">
    <w:lvl w:ilvl="0">
      <w:numFmt w:val="bullet"/>
      <w:lvlText w:val="-"/>
      <w:lvlJc w:val="left"/>
      <w:pPr>
        <w:tabs>
          <w:tab w:val="num" w:pos="0"/>
        </w:tabs>
        <w:ind w:left="127" w:hanging="98"/>
      </w:pPr>
      <w:rPr>
        <w:rFonts w:ascii="Arial MT" w:hAnsi="Arial MT" w:cs="Arial MT" w:hint="default"/>
        <w:sz w:val="16"/>
        <w:spacing w:val="0"/>
        <w:i w:val="false"/>
        <w:b w:val="false"/>
        <w:szCs w:val="16"/>
        <w:iCs w:val="false"/>
        <w:bCs w:val="false"/>
        <w:w w:val="100"/>
        <w:lang w:val="pt-P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52" w:hanging="98"/>
      </w:pPr>
      <w:rPr>
        <w:rFonts w:ascii="Symbol" w:hAnsi="Symbol" w:cs="Symbol" w:hint="default"/>
        <w:lang w:val="pt-P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784" w:hanging="98"/>
      </w:pPr>
      <w:rPr>
        <w:rFonts w:ascii="Symbol" w:hAnsi="Symbol" w:cs="Symbol" w:hint="default"/>
        <w:lang w:val="pt-P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116" w:hanging="98"/>
      </w:pPr>
      <w:rPr>
        <w:rFonts w:ascii="Symbol" w:hAnsi="Symbol" w:cs="Symbol" w:hint="default"/>
        <w:lang w:val="pt-P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48" w:hanging="98"/>
      </w:pPr>
      <w:rPr>
        <w:rFonts w:ascii="Symbol" w:hAnsi="Symbol" w:cs="Symbol" w:hint="default"/>
        <w:lang w:val="pt-P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780" w:hanging="98"/>
      </w:pPr>
      <w:rPr>
        <w:rFonts w:ascii="Symbol" w:hAnsi="Symbol" w:cs="Symbol" w:hint="default"/>
        <w:lang w:val="pt-P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12" w:hanging="98"/>
      </w:pPr>
      <w:rPr>
        <w:rFonts w:ascii="Symbol" w:hAnsi="Symbol" w:cs="Symbol" w:hint="default"/>
        <w:lang w:val="pt-P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444" w:hanging="98"/>
      </w:pPr>
      <w:rPr>
        <w:rFonts w:ascii="Symbol" w:hAnsi="Symbol" w:cs="Symbol" w:hint="default"/>
        <w:lang w:val="pt-P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776" w:hanging="98"/>
      </w:pPr>
      <w:rPr>
        <w:rFonts w:ascii="Symbol" w:hAnsi="Symbol" w:cs="Symbol" w:hint="default"/>
        <w:lang w:val="pt-PT" w:eastAsia="en-US" w:bidi="ar-SA"/>
      </w:rPr>
    </w:lvl>
  </w:abstractNum>
  <w:abstractNum w:abstractNumId="5">
    <w:lvl w:ilvl="0">
      <w:numFmt w:val="bullet"/>
      <w:lvlText w:val="-"/>
      <w:lvlJc w:val="left"/>
      <w:pPr>
        <w:tabs>
          <w:tab w:val="num" w:pos="0"/>
        </w:tabs>
        <w:ind w:left="127" w:hanging="98"/>
      </w:pPr>
      <w:rPr>
        <w:rFonts w:ascii="Arial MT" w:hAnsi="Arial MT" w:cs="Arial MT" w:hint="default"/>
        <w:u w:val="none"/>
        <w:b w:val="false"/>
        <w:bCs w:val="false"/>
        <w:color w:val="000000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52" w:hanging="98"/>
      </w:pPr>
      <w:rPr>
        <w:rFonts w:ascii="Symbol" w:hAnsi="Symbol" w:cs="Symbol" w:hint="default"/>
        <w:i w:val="false"/>
        <w:u w:val="none"/>
        <w:b w:val="false"/>
        <w:iCs w:val="false"/>
        <w:bCs w:val="false"/>
        <w:lang w:eastAsia="en-US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784" w:hanging="98"/>
      </w:pPr>
      <w:rPr>
        <w:rFonts w:ascii="Symbol" w:hAnsi="Symbol" w:cs="Symbol" w:hint="default"/>
        <w:sz w:val="24"/>
        <w:u w:val="single"/>
        <w:b w:val="false"/>
        <w:szCs w:val="24"/>
        <w:bCs w:val="false"/>
        <w:color w:val="000080"/>
        <w:lang w:eastAsia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116" w:hanging="98"/>
      </w:pPr>
      <w:rPr>
        <w:rFonts w:ascii="Symbol" w:hAnsi="Symbol" w:cs="Symbol" w:hint="default"/>
        <w:u w:val="single"/>
        <w:b w:val="false"/>
        <w:bCs w:val="false"/>
        <w:color w:val="000080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48" w:hanging="98"/>
      </w:pPr>
      <w:rPr>
        <w:rFonts w:ascii="Symbol" w:hAnsi="Symbol" w:cs="Symbol" w:hint="default"/>
        <w:u w:val="single"/>
        <w:color w:val="000080"/>
        <w:lang w:eastAsia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780" w:hanging="98"/>
      </w:pPr>
      <w:rPr>
        <w:rFonts w:ascii="Symbol" w:hAnsi="Symbol" w:cs="Symbol" w:hint="default"/>
        <w:sz w:val="24"/>
        <w:u w:val="single"/>
        <w:b w:val="false"/>
        <w:szCs w:val="24"/>
        <w:bCs w:val="false"/>
        <w:color w:val="000000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12" w:hanging="98"/>
      </w:pPr>
      <w:rPr>
        <w:rFonts w:ascii="Symbol" w:hAnsi="Symbol" w:cs="Symbol" w:hint="default"/>
        <w:lang w:val="pt-P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444" w:hanging="98"/>
      </w:pPr>
      <w:rPr>
        <w:rFonts w:ascii="Symbol" w:hAnsi="Symbol" w:cs="Symbol" w:hint="default"/>
        <w:lang w:val="pt-P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776" w:hanging="98"/>
      </w:pPr>
      <w:rPr>
        <w:rFonts w:ascii="Symbol" w:hAnsi="Symbol" w:cs="Symbol" w:hint="default"/>
        <w:lang w:val="pt-PT" w:eastAsia="en-US" w:bidi="ar-SA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0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e18ec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pt-BR" w:eastAsia="pt-BR" w:bidi="ar-SA"/>
    </w:rPr>
  </w:style>
  <w:style w:type="paragraph" w:styleId="Heading1">
    <w:name w:val="Heading 1"/>
    <w:basedOn w:val="Normal"/>
    <w:next w:val="Normal"/>
    <w:link w:val="Ttulo1Char"/>
    <w:uiPriority w:val="9"/>
    <w:qFormat/>
    <w:rsid w:val="00537254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2e18ec"/>
    <w:rPr/>
  </w:style>
  <w:style w:type="character" w:styleId="CabealhoChar" w:customStyle="1">
    <w:name w:val="Cabeçalho Char"/>
    <w:basedOn w:val="DefaultParagraphFont"/>
    <w:qFormat/>
    <w:rsid w:val="002e18ec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RodapChar" w:customStyle="1">
    <w:name w:val="Rodapé Char"/>
    <w:basedOn w:val="DefaultParagraphFont"/>
    <w:qFormat/>
    <w:rsid w:val="002e18ec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A6" w:customStyle="1">
    <w:name w:val="A6"/>
    <w:qFormat/>
    <w:rPr>
      <w:color w:val="000000"/>
      <w:sz w:val="18"/>
      <w:u w:val="single"/>
    </w:rPr>
  </w:style>
  <w:style w:type="character" w:styleId="InternetLink" w:customStyle="1">
    <w:name w:val="Internet Link"/>
    <w:qFormat/>
    <w:rPr>
      <w:color w:val="000080"/>
      <w:u w:val="single"/>
    </w:rPr>
  </w:style>
  <w:style w:type="character" w:styleId="CorpodetextoChar" w:customStyle="1">
    <w:name w:val="Corpo de texto Char"/>
    <w:basedOn w:val="DefaultParagraphFont"/>
    <w:qFormat/>
    <w:rsid w:val="004568f3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CitaoChar" w:customStyle="1">
    <w:name w:val="Citação Char"/>
    <w:basedOn w:val="DefaultParagraphFont"/>
    <w:qFormat/>
    <w:rsid w:val="00537254"/>
    <w:rPr>
      <w:rFonts w:ascii="Arial" w:hAnsi="Arial" w:eastAsia="Calibri" w:cs="Tahoma"/>
      <w:i/>
      <w:iCs/>
      <w:color w:val="000000"/>
      <w:sz w:val="20"/>
      <w:szCs w:val="24"/>
      <w:shd w:fill="FFFFCC" w:val="clear"/>
    </w:rPr>
  </w:style>
  <w:style w:type="character" w:styleId="Nivel1Char" w:customStyle="1">
    <w:name w:val="Nivel1 Char"/>
    <w:basedOn w:val="DefaultParagraphFont"/>
    <w:link w:val="Nivel1"/>
    <w:qFormat/>
    <w:locked/>
    <w:rsid w:val="00537254"/>
    <w:rPr>
      <w:rFonts w:ascii="Arial" w:hAnsi="Arial" w:eastAsia="" w:cs="Arial" w:eastAsiaTheme="majorEastAsia"/>
      <w:b/>
      <w:color w:val="000000"/>
      <w:sz w:val="32"/>
      <w:szCs w:val="32"/>
    </w:rPr>
  </w:style>
  <w:style w:type="character" w:styleId="Nivel2Char" w:customStyle="1">
    <w:name w:val="Nivel 2 Char"/>
    <w:basedOn w:val="DefaultParagraphFont"/>
    <w:link w:val="Nivel2"/>
    <w:qFormat/>
    <w:locked/>
    <w:rsid w:val="00537254"/>
    <w:rPr>
      <w:rFonts w:ascii="Arial" w:hAnsi="Arial" w:cs="Arial"/>
      <w:color w:val="000000"/>
    </w:rPr>
  </w:style>
  <w:style w:type="character" w:styleId="Strong">
    <w:name w:val="Strong"/>
    <w:qFormat/>
    <w:rPr>
      <w:b/>
      <w:bCs/>
    </w:rPr>
  </w:style>
  <w:style w:type="character" w:styleId="Ttulo1Char" w:customStyle="1">
    <w:name w:val="Título 1 Char"/>
    <w:basedOn w:val="DefaultParagraphFont"/>
    <w:uiPriority w:val="9"/>
    <w:qFormat/>
    <w:rsid w:val="00537254"/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pt-BR"/>
    </w:rPr>
  </w:style>
  <w:style w:type="character" w:styleId="scayt-misspell-word">
    <w:name w:val="scayt-misspell-word"/>
    <w:qFormat/>
    <w:rPr/>
  </w:style>
  <w:style w:type="character" w:styleId="apple-converted-space">
    <w:name w:val="apple-converted-space"/>
    <w:qFormat/>
    <w:rPr/>
  </w:style>
  <w:style w:type="character" w:styleId="QuoteChar">
    <w:name w:val="Quote Char"/>
    <w:qFormat/>
    <w:rPr>
      <w:rFonts w:ascii="Ecofont_Spranq_eco_Sans" w:hAnsi="Ecofont_Spranq_eco_Sans" w:cs="Ecofont_Spranq_eco_Sans"/>
      <w:i/>
      <w:iCs/>
      <w:color w:val="000000"/>
      <w:sz w:val="24"/>
      <w:szCs w:val="24"/>
      <w:shd w:fill="FFFFCC" w:val="clear"/>
      <w:lang w:eastAsia="en-US"/>
    </w:rPr>
  </w:style>
  <w:style w:type="character" w:styleId="Nivel01Char">
    <w:name w:val="Nivel_01 Char"/>
    <w:qFormat/>
    <w:rPr>
      <w:rFonts w:ascii="Ecofont_Spranq_eco_Sans" w:hAnsi="Ecofont_Spranq_eco_Sans" w:eastAsia="ＭＳ ゴシック" w:cs="Times New Roman"/>
      <w:b/>
      <w:bCs/>
      <w:color w:val="365F91"/>
      <w:sz w:val="32"/>
      <w:szCs w:val="32"/>
    </w:rPr>
  </w:style>
  <w:style w:type="character" w:styleId="Nivel01Char1">
    <w:name w:val="Nivel 01 Char"/>
    <w:qFormat/>
    <w:rPr>
      <w:rFonts w:ascii="Ecofont_Spranq_eco_Sans" w:hAnsi="Ecofont_Spranq_eco_Sans" w:eastAsia="ＭＳ ゴシック"/>
      <w:b/>
      <w:bCs/>
      <w:color w:val="000000"/>
    </w:rPr>
  </w:style>
  <w:style w:type="character" w:styleId="AssuntodocomentrioChar">
    <w:name w:val="Assunto do comentário Char"/>
    <w:qFormat/>
    <w:rPr>
      <w:rFonts w:ascii="Arial" w:hAnsi="Arial" w:cs="Tahoma"/>
      <w:b/>
      <w:bCs/>
    </w:rPr>
  </w:style>
  <w:style w:type="character" w:styleId="TextodecomentrioChar">
    <w:name w:val="Texto de comentário Char"/>
    <w:qFormat/>
    <w:rPr>
      <w:rFonts w:ascii="Arial" w:hAnsi="Arial" w:cs="Tahoma"/>
    </w:rPr>
  </w:style>
  <w:style w:type="character" w:styleId="annotationreference">
    <w:name w:val="annotation reference"/>
    <w:qFormat/>
    <w:rPr>
      <w:sz w:val="18"/>
      <w:szCs w:val="18"/>
    </w:rPr>
  </w:style>
  <w:style w:type="character" w:styleId="GradeColorida-nfase1Char">
    <w:name w:val="Grade Colorida - Ênfase 1 Char"/>
    <w:qFormat/>
    <w:rPr>
      <w:rFonts w:ascii="Ecofont_Spranq_eco_Sans" w:hAnsi="Ecofont_Spranq_eco_Sans" w:eastAsia="Calibri"/>
      <w:i/>
      <w:iCs/>
      <w:color w:val="000000"/>
      <w:szCs w:val="24"/>
      <w:shd w:fill="FFFFCC" w:val="clear"/>
      <w:lang w:val="x-none" w:eastAsia="en-US"/>
    </w:rPr>
  </w:style>
  <w:style w:type="character" w:styleId="citao2Char">
    <w:name w:val="citação 2 Char"/>
    <w:qFormat/>
    <w:rPr>
      <w:rFonts w:ascii="Ecofont_Spranq_eco_Sans" w:hAnsi="Ecofont_Spranq_eco_Sans" w:eastAsia="Calibri" w:cs="Tahoma"/>
      <w:i/>
      <w:iCs/>
      <w:color w:val="000000"/>
      <w:shd w:fill="FFFFCC" w:val="clear"/>
      <w:lang w:eastAsia="en-US"/>
    </w:rPr>
  </w:style>
  <w:style w:type="character" w:styleId="apple-style-span">
    <w:name w:val="apple-style-span"/>
    <w:qFormat/>
    <w:rPr/>
  </w:style>
  <w:style w:type="character" w:styleId="normalchar1">
    <w:name w:val="normal__char1"/>
    <w:qFormat/>
    <w:rPr>
      <w:rFonts w:ascii="Arial" w:hAnsi="Arial" w:cs="Arial"/>
      <w:strike w:val="false"/>
      <w:dstrike w:val="false"/>
      <w:sz w:val="24"/>
      <w:szCs w:val="24"/>
      <w:u w:val="none"/>
      <w:effect w:val="none"/>
    </w:rPr>
  </w:style>
  <w:style w:type="character" w:styleId="Ttulo2Char">
    <w:name w:val="Título 2 Char"/>
    <w:qFormat/>
    <w:rPr>
      <w:b/>
      <w:color w:val="000000"/>
      <w:sz w:val="24"/>
    </w:rPr>
  </w:style>
  <w:style w:type="character" w:styleId="TextodebaloChar">
    <w:name w:val="Texto de balão Char"/>
    <w:qFormat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CorpodetextoChar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CabealhoeRodap" w:customStyle="1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Header">
    <w:name w:val="Header"/>
    <w:basedOn w:val="Normal"/>
    <w:link w:val="CabealhoChar"/>
    <w:rsid w:val="002e18ec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Footer">
    <w:name w:val="Footer"/>
    <w:basedOn w:val="Normal"/>
    <w:link w:val="RodapChar"/>
    <w:rsid w:val="002e18ec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ListParagraph">
    <w:name w:val="List Paragraph"/>
    <w:basedOn w:val="Normal"/>
    <w:uiPriority w:val="34"/>
    <w:qFormat/>
    <w:rsid w:val="007a2726"/>
    <w:pPr>
      <w:spacing w:before="0" w:after="0"/>
      <w:ind w:hanging="0" w:left="720"/>
      <w:contextualSpacing/>
    </w:pPr>
    <w:rPr/>
  </w:style>
  <w:style w:type="paragraph" w:styleId="Tabelanormal1" w:customStyle="1">
    <w:name w:val="Tabela normal1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Times New Roman" w:hAnsi="Times New Roman" w:eastAsia="Tahoma" w:cs="Times New Roman"/>
      <w:color w:val="auto"/>
      <w:kern w:val="0"/>
      <w:sz w:val="20"/>
      <w:szCs w:val="20"/>
      <w:lang w:val="pt-BR" w:eastAsia="pt-BR" w:bidi="ar-SA"/>
    </w:rPr>
  </w:style>
  <w:style w:type="paragraph" w:styleId="Quote">
    <w:name w:val="Quote"/>
    <w:basedOn w:val="Normal"/>
    <w:next w:val="Normal"/>
    <w:link w:val="CitaoChar"/>
    <w:qFormat/>
    <w:rsid w:val="0053725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false"/>
      <w:spacing w:before="120" w:after="0"/>
      <w:jc w:val="both"/>
    </w:pPr>
    <w:rPr>
      <w:rFonts w:ascii="Arial" w:hAnsi="Arial" w:eastAsia="Calibri" w:cs="Tahoma"/>
      <w:i/>
      <w:iCs/>
      <w:color w:val="000000"/>
      <w:sz w:val="20"/>
      <w:szCs w:val="24"/>
      <w:lang w:eastAsia="en-US"/>
    </w:rPr>
  </w:style>
  <w:style w:type="paragraph" w:styleId="Nivel1" w:customStyle="1">
    <w:name w:val="Nivel1"/>
    <w:basedOn w:val="Heading1"/>
    <w:next w:val="Normal"/>
    <w:link w:val="Nivel1Char"/>
    <w:qFormat/>
    <w:rsid w:val="00537254"/>
    <w:pPr>
      <w:suppressAutoHyphens w:val="false"/>
      <w:spacing w:lineRule="auto" w:line="276" w:before="480" w:after="120"/>
      <w:jc w:val="both"/>
      <w:outlineLvl w:val="9"/>
    </w:pPr>
    <w:rPr>
      <w:rFonts w:ascii="Arial" w:hAnsi="Arial" w:cs="Arial"/>
      <w:bCs w:val="false"/>
      <w:color w:themeColor="accent1" w:themeShade="bf" w:val="000000"/>
      <w:sz w:val="32"/>
      <w:szCs w:val="32"/>
      <w:lang w:eastAsia="en-US"/>
    </w:rPr>
  </w:style>
  <w:style w:type="paragraph" w:styleId="Standard" w:customStyle="1">
    <w:name w:val="Standard"/>
    <w:qFormat/>
    <w:rsid w:val="00537254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paragraph" w:styleId="citao2" w:customStyle="1">
    <w:name w:val="citação 2"/>
    <w:basedOn w:val="Quote"/>
    <w:qFormat/>
    <w:rsid w:val="00537254"/>
    <w:pPr>
      <w:suppressAutoHyphens w:val="true"/>
    </w:pPr>
    <w:rPr>
      <w:kern w:val="2"/>
      <w:szCs w:val="20"/>
      <w:lang w:eastAsia="zh-CN" w:bidi="hi-IN"/>
    </w:rPr>
  </w:style>
  <w:style w:type="paragraph" w:styleId="Nivel2" w:customStyle="1">
    <w:name w:val="Nivel 2"/>
    <w:basedOn w:val="Normal"/>
    <w:link w:val="Nivel2Char"/>
    <w:qFormat/>
    <w:rsid w:val="00537254"/>
    <w:pPr>
      <w:suppressAutoHyphens w:val="false"/>
      <w:spacing w:lineRule="auto" w:line="276" w:before="120" w:after="120"/>
      <w:jc w:val="both"/>
    </w:pPr>
    <w:rPr>
      <w:rFonts w:ascii="Arial" w:hAnsi="Arial" w:eastAsia="Calibri" w:cs="Arial" w:eastAsiaTheme="minorHAnsi"/>
      <w:color w:val="000000"/>
      <w:sz w:val="22"/>
      <w:szCs w:val="22"/>
      <w:lang w:eastAsia="en-US"/>
    </w:rPr>
  </w:style>
  <w:style w:type="paragraph" w:styleId="Nivel3" w:customStyle="1">
    <w:name w:val="Nivel 3"/>
    <w:basedOn w:val="ListParagraph"/>
    <w:qFormat/>
    <w:rsid w:val="00537254"/>
    <w:pPr>
      <w:tabs>
        <w:tab w:val="clear" w:pos="708"/>
        <w:tab w:val="left" w:pos="360" w:leader="none"/>
      </w:tabs>
      <w:suppressAutoHyphens w:val="false"/>
      <w:spacing w:lineRule="auto" w:line="276" w:before="120" w:after="120"/>
      <w:ind w:hanging="0" w:left="425"/>
      <w:contextualSpacing/>
      <w:jc w:val="both"/>
    </w:pPr>
    <w:rPr>
      <w:rFonts w:ascii="Arial" w:hAnsi="Arial" w:cs="Arial"/>
      <w:sz w:val="20"/>
    </w:rPr>
  </w:style>
  <w:style w:type="paragraph" w:styleId="TableParagraph">
    <w:name w:val="Table Paragraph"/>
    <w:basedOn w:val="Normal"/>
    <w:qFormat/>
    <w:pPr>
      <w:widowControl w:val="false"/>
      <w:suppressAutoHyphens w:val="false"/>
    </w:pPr>
    <w:rPr>
      <w:rFonts w:ascii="Calibri" w:hAnsi="Calibri" w:eastAsia="Calibri" w:cs="Calibri"/>
      <w:sz w:val="22"/>
      <w:szCs w:val="22"/>
      <w:lang w:val="pt-PT" w:eastAsia="en-US"/>
    </w:rPr>
  </w:style>
  <w:style w:type="paragraph" w:styleId="PADRO">
    <w:name w:val="PADRÃO"/>
    <w:qFormat/>
    <w:pPr>
      <w:keepNext w:val="true"/>
      <w:widowControl w:val="false"/>
      <w:shd w:fill="FFFFFF"/>
      <w:suppressAutoHyphens w:val="tru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4"/>
      <w:szCs w:val="24"/>
      <w:lang w:val="pt-BR" w:eastAsia="zh-CN" w:bidi="hi-IN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PargrafodaLista">
    <w:name w:val="Parágrafo da Lista"/>
    <w:basedOn w:val="Normal"/>
    <w:qFormat/>
    <w:pPr>
      <w:spacing w:lineRule="auto" w:line="276" w:before="0" w:after="200"/>
      <w:ind w:hanging="0" w:left="720"/>
      <w:contextualSpacing/>
    </w:pPr>
    <w:rPr>
      <w:rFonts w:ascii="Calibri" w:hAnsi="Calibri" w:eastAsia="Calibri" w:cs="Calibri"/>
      <w:sz w:val="22"/>
      <w:szCs w:val="22"/>
    </w:rPr>
  </w:style>
  <w:style w:type="paragraph" w:styleId="Citao1">
    <w:name w:val="Citação1"/>
    <w:basedOn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fill="FFFFCC"/>
      <w:spacing w:before="120" w:after="0"/>
      <w:jc w:val="both"/>
    </w:pPr>
    <w:rPr>
      <w:rFonts w:ascii="Ecofont_Spranq_eco_Sans" w:hAnsi="Ecofont_Spranq_eco_Sans" w:cs="Ecofont_Spranq_eco_Sans"/>
      <w:i/>
      <w:iCs/>
      <w:color w:val="000000"/>
      <w:shd w:fill="FFFFCC" w:val="clear"/>
      <w:lang w:eastAsia="en-US"/>
    </w:rPr>
  </w:style>
  <w:style w:type="paragraph" w:styleId="Nivel5">
    <w:name w:val="Nivel 5"/>
    <w:qFormat/>
    <w:pPr>
      <w:widowControl/>
      <w:tabs>
        <w:tab w:val="clear" w:pos="708"/>
        <w:tab w:val="left" w:pos="360" w:leader="none"/>
      </w:tabs>
      <w:suppressAutoHyphens w:val="true"/>
      <w:bidi w:val="0"/>
      <w:spacing w:lineRule="auto" w:line="276" w:before="120" w:after="120"/>
      <w:ind w:hanging="0" w:left="3485"/>
      <w:jc w:val="both"/>
    </w:pPr>
    <w:rPr>
      <w:rFonts w:ascii="Ecofont_Spranq_eco_Sans" w:hAnsi="Ecofont_Spranq_eco_Sans" w:eastAsia="Arial Unicode MS" w:cs="Arial"/>
      <w:color w:val="auto"/>
      <w:kern w:val="0"/>
      <w:sz w:val="22"/>
      <w:szCs w:val="22"/>
      <w:lang w:val="pt-BR" w:eastAsia="en-US" w:bidi="ar-SA"/>
    </w:rPr>
  </w:style>
  <w:style w:type="paragraph" w:styleId="Nivel4">
    <w:name w:val="Nivel 4"/>
    <w:qFormat/>
    <w:pPr>
      <w:widowControl/>
      <w:tabs>
        <w:tab w:val="clear" w:pos="708"/>
        <w:tab w:val="left" w:pos="360" w:leader="none"/>
      </w:tabs>
      <w:suppressAutoHyphens w:val="true"/>
      <w:bidi w:val="0"/>
      <w:spacing w:lineRule="auto" w:line="276" w:before="120" w:after="120"/>
      <w:ind w:hanging="0" w:left="2491"/>
      <w:jc w:val="both"/>
    </w:pPr>
    <w:rPr>
      <w:rFonts w:ascii="Ecofont_Spranq_eco_Sans" w:hAnsi="Ecofont_Spranq_eco_Sans" w:eastAsia="Arial Unicode MS" w:cs="Arial"/>
      <w:color w:val="auto"/>
      <w:kern w:val="0"/>
      <w:sz w:val="22"/>
      <w:szCs w:val="22"/>
      <w:lang w:val="pt-BR" w:eastAsia="en-US" w:bidi="ar-SA"/>
    </w:rPr>
  </w:style>
  <w:style w:type="paragraph" w:styleId="Nivel11">
    <w:name w:val="Nivel 1"/>
    <w:qFormat/>
    <w:pPr>
      <w:widowControl/>
      <w:tabs>
        <w:tab w:val="clear" w:pos="708"/>
        <w:tab w:val="left" w:pos="360" w:leader="none"/>
      </w:tabs>
      <w:suppressAutoHyphens w:val="true"/>
      <w:bidi w:val="0"/>
      <w:spacing w:lineRule="auto" w:line="276" w:before="120" w:after="120"/>
      <w:ind w:hanging="432" w:left="644"/>
      <w:jc w:val="both"/>
    </w:pPr>
    <w:rPr>
      <w:rFonts w:ascii="Ecofont_Spranq_eco_Sans" w:hAnsi="Ecofont_Spranq_eco_Sans" w:eastAsia="Arial Unicode MS" w:cs="Arial"/>
      <w:b/>
      <w:color w:val="auto"/>
      <w:kern w:val="0"/>
      <w:sz w:val="22"/>
      <w:szCs w:val="22"/>
      <w:lang w:val="pt-BR" w:eastAsia="en-US" w:bidi="ar-SA"/>
    </w:rPr>
  </w:style>
  <w:style w:type="paragraph" w:styleId="PargrafodaLista1">
    <w:name w:val="Parágrafo da Lista1"/>
    <w:basedOn w:val="Normal"/>
    <w:qFormat/>
    <w:pPr>
      <w:ind w:hanging="0" w:left="720"/>
    </w:pPr>
    <w:rPr>
      <w:rFonts w:ascii="Ecofont_Spranq_eco_Sans" w:hAnsi="Ecofont_Spranq_eco_Sans" w:cs="Ecofont_Spranq_eco_Sans"/>
    </w:rPr>
  </w:style>
  <w:style w:type="paragraph" w:styleId="SombreamentoMdio1-nfase31">
    <w:name w:val="Sombreamento Médio 1 - Ênfase 31"/>
    <w:basedOn w:val="Normal"/>
    <w:qFormat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fill="FFFFCC"/>
      <w:spacing w:before="120" w:after="0"/>
      <w:jc w:val="both"/>
    </w:pPr>
    <w:rPr>
      <w:rFonts w:ascii="Ecofont_Spranq_eco_Sans" w:hAnsi="Ecofont_Spranq_eco_Sans" w:eastAsia="Calibri"/>
      <w:i/>
      <w:iCs/>
      <w:color w:val="000000"/>
    </w:rPr>
  </w:style>
  <w:style w:type="paragraph" w:styleId="Nivel01">
    <w:name w:val="Nivel_01"/>
    <w:basedOn w:val="Heading1"/>
    <w:qFormat/>
    <w:pPr>
      <w:keepNext w:val="true"/>
      <w:keepLines/>
      <w:tabs>
        <w:tab w:val="clear" w:pos="708"/>
        <w:tab w:val="left" w:pos="567" w:leader="none"/>
      </w:tabs>
      <w:spacing w:before="240" w:after="0"/>
      <w:jc w:val="both"/>
      <w:outlineLvl w:val="9"/>
    </w:pPr>
    <w:rPr>
      <w:rFonts w:ascii="Ecofont_Spranq_eco_Sans" w:hAnsi="Ecofont_Spranq_eco_Sans" w:eastAsia="ＭＳ ゴシック" w:cs="Times New Roman"/>
      <w:b/>
      <w:bCs/>
      <w:color w:themeColor="accent1" w:themeShade="bf" w:val="365F91"/>
      <w:sz w:val="20"/>
      <w:szCs w:val="20"/>
    </w:rPr>
  </w:style>
  <w:style w:type="paragraph" w:styleId="Nivel011">
    <w:name w:val="Nivel 01"/>
    <w:basedOn w:val="Heading1"/>
    <w:qFormat/>
    <w:pPr>
      <w:keepNext w:val="true"/>
      <w:keepLines/>
      <w:tabs>
        <w:tab w:val="clear" w:pos="708"/>
        <w:tab w:val="left" w:pos="567" w:leader="none"/>
      </w:tabs>
      <w:spacing w:before="240" w:after="0"/>
      <w:jc w:val="both"/>
      <w:outlineLvl w:val="9"/>
    </w:pPr>
    <w:rPr>
      <w:rFonts w:ascii="Ecofont_Spranq_eco_Sans" w:hAnsi="Ecofont_Spranq_eco_Sans" w:eastAsia="ＭＳ ゴシック" w:cs="Times New Roman"/>
      <w:b/>
      <w:bCs/>
      <w:color w:themeColor="accent1" w:themeShade="bf" w:val="000000"/>
      <w:sz w:val="20"/>
      <w:szCs w:val="20"/>
    </w:rPr>
  </w:style>
  <w:style w:type="paragraph" w:styleId="annotationsubject">
    <w:name w:val="annotation subject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0"/>
      <w:b/>
      <w:bCs/>
      <w:color w:val="auto"/>
      <w:kern w:val="0"/>
      <w:sz w:val="20"/>
      <w:szCs w:val="20"/>
      <w:lang w:val="pt-BR" w:eastAsia="en-US" w:bidi="ar-SA"/>
    </w:rPr>
  </w:style>
  <w:style w:type="paragraph" w:styleId="AnnotationText">
    <w:name w:val="Annotation Text"/>
    <w:basedOn w:val="Normal"/>
    <w:qFormat/>
    <w:pPr/>
    <w:rPr/>
  </w:style>
  <w:style w:type="paragraph" w:styleId="GradeColorida-nfase11">
    <w:name w:val="Grade Colorida - Ênfase 11"/>
    <w:basedOn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fill="FFFFCC"/>
      <w:spacing w:before="120" w:after="0"/>
      <w:jc w:val="both"/>
    </w:pPr>
    <w:rPr>
      <w:rFonts w:eastAsia="Calibri" w:cs="Times New Roman"/>
      <w:i/>
      <w:iCs/>
      <w:color w:val="000000"/>
      <w:lang w:val="x-none" w:eastAsia="en-US"/>
    </w:rPr>
  </w:style>
  <w:style w:type="paragraph" w:styleId="ListBullet5">
    <w:name w:val="List Bullet 5"/>
    <w:basedOn w:val="Normal"/>
    <w:qFormat/>
    <w:pPr>
      <w:spacing w:before="0" w:after="0"/>
      <w:contextualSpacing/>
    </w:pPr>
    <w:rPr/>
  </w:style>
  <w:style w:type="paragraph" w:styleId="Nvel2">
    <w:name w:val="Nível 2"/>
    <w:basedOn w:val="Normal"/>
    <w:qFormat/>
    <w:pPr>
      <w:spacing w:before="0" w:after="120"/>
      <w:jc w:val="both"/>
    </w:pPr>
    <w:rPr>
      <w:rFonts w:cs="Times New Roman"/>
      <w:b/>
      <w:szCs w:val="20"/>
    </w:rPr>
  </w:style>
  <w:style w:type="paragraph" w:styleId="BalloonText">
    <w:name w:val="Balloon Text"/>
    <w:basedOn w:val="Normal"/>
    <w:qFormat/>
    <w:pPr/>
    <w:rPr>
      <w:rFonts w:ascii="Tahoma" w:hAnsi="Tahoma"/>
      <w:sz w:val="16"/>
      <w:szCs w:val="16"/>
    </w:rPr>
  </w:style>
  <w:style w:type="paragraph" w:styleId="NormalWeb">
    <w:name w:val="Normal (Web)"/>
    <w:basedOn w:val="Normal"/>
    <w:qFormat/>
    <w:pPr>
      <w:spacing w:beforeAutospacing="1" w:afterAutospacing="1"/>
    </w:pPr>
    <w:rPr>
      <w:rFonts w:ascii="Times New Roman" w:hAnsi="Times New Roman" w:cs="Times New Roman"/>
    </w:rPr>
  </w:style>
  <w:style w:type="paragraph" w:styleId="Contedodatabela">
    <w:name w:val="Conteúdo da tabela"/>
    <w:basedOn w:val="Normal"/>
    <w:qFormat/>
    <w:pPr/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Contedodoquadro">
    <w:name w:val="Conteúdo do quadro"/>
    <w:basedOn w:val="Normal"/>
    <w:qFormat/>
    <w:pPr/>
    <w:rPr/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53725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planalto.gov.br/ccivil_03/leis/lcp/lcp123.htm" TargetMode="External"/><Relationship Id="rId3" Type="http://schemas.openxmlformats.org/officeDocument/2006/relationships/hyperlink" Target="http://www.portaldatransparencia.gov.br/ceis" TargetMode="External"/><Relationship Id="rId4" Type="http://schemas.openxmlformats.org/officeDocument/2006/relationships/hyperlink" Target="http://www.cnj.jus.br/improbidade_adm/consultar_requerido.php" TargetMode="External"/><Relationship Id="rId5" Type="http://schemas.openxmlformats.org/officeDocument/2006/relationships/hyperlink" Target="https://www.tcees.tc.br/portal-da-transparencia/consultas/lista-de" TargetMode="External"/><Relationship Id="rId6" Type="http://schemas.openxmlformats.org/officeDocument/2006/relationships/hyperlink" Target="https://certidoesapf.apps.tcu.gov.br/" TargetMode="External"/><Relationship Id="rId7" Type="http://schemas.openxmlformats.org/officeDocument/2006/relationships/hyperlink" Target="http://www.portaldoempreendedor.gov.br/" TargetMode="Externa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header" Target="header3.xml"/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footer" Target="footer3.xml"/><Relationship Id="rId14" Type="http://schemas.openxmlformats.org/officeDocument/2006/relationships/numbering" Target="numbering.xml"/><Relationship Id="rId15" Type="http://schemas.openxmlformats.org/officeDocument/2006/relationships/fontTable" Target="fontTable.xml"/><Relationship Id="rId16" Type="http://schemas.openxmlformats.org/officeDocument/2006/relationships/settings" Target="settings.xml"/><Relationship Id="rId17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Application>LibreOffice/24.2.6.2$Windows_X86_64 LibreOffice_project/ef66aa7e36a1bb8e65bfbc63aba53045a14d0871</Application>
  <AppVersion>15.0000</AppVersion>
  <Pages>15</Pages>
  <Words>5391</Words>
  <Characters>30560</Characters>
  <CharactersWithSpaces>35646</CharactersWithSpaces>
  <Paragraphs>364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Ruth Barbara da Silwa Nascimento</dc:creator>
  <dc:description/>
  <dc:language>pt-BR</dc:language>
  <cp:lastModifiedBy/>
  <dcterms:modified xsi:type="dcterms:W3CDTF">2024-11-06T17:50:53Z</dcterms:modified>
  <cp:revision>143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